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ECD" w:rsidRPr="00701077" w:rsidRDefault="009A1ECD" w:rsidP="009A1ECD">
      <w:pPr>
        <w:jc w:val="center"/>
        <w:rPr>
          <w:b/>
          <w:sz w:val="22"/>
          <w:szCs w:val="22"/>
        </w:rPr>
      </w:pPr>
      <w:r w:rsidRPr="00701077">
        <w:rPr>
          <w:b/>
          <w:sz w:val="22"/>
          <w:szCs w:val="22"/>
        </w:rPr>
        <w:t>Implementation of isolation exemptions for health and social care staff</w:t>
      </w:r>
    </w:p>
    <w:p w:rsidR="009A1ECD" w:rsidRPr="00701077" w:rsidRDefault="009A1ECD" w:rsidP="00C8447D">
      <w:pPr>
        <w:jc w:val="center"/>
        <w:rPr>
          <w:b/>
          <w:sz w:val="22"/>
          <w:szCs w:val="22"/>
        </w:rPr>
      </w:pPr>
      <w:r>
        <w:rPr>
          <w:b/>
          <w:sz w:val="22"/>
          <w:szCs w:val="22"/>
        </w:rPr>
        <w:t xml:space="preserve">Staff </w:t>
      </w:r>
      <w:r w:rsidRPr="00701077">
        <w:rPr>
          <w:b/>
          <w:sz w:val="22"/>
          <w:szCs w:val="22"/>
        </w:rPr>
        <w:t>fact sheet</w:t>
      </w:r>
    </w:p>
    <w:tbl>
      <w:tblPr>
        <w:tblStyle w:val="TableGrid"/>
        <w:tblW w:w="11058" w:type="dxa"/>
        <w:tblInd w:w="-998" w:type="dxa"/>
        <w:tblLook w:val="04A0" w:firstRow="1" w:lastRow="0" w:firstColumn="1" w:lastColumn="0" w:noHBand="0" w:noVBand="1"/>
      </w:tblPr>
      <w:tblGrid>
        <w:gridCol w:w="11058"/>
      </w:tblGrid>
      <w:tr w:rsidR="00C8447D" w:rsidRPr="007C09FB" w:rsidTr="000B138F">
        <w:tc>
          <w:tcPr>
            <w:tcW w:w="11058" w:type="dxa"/>
          </w:tcPr>
          <w:p w:rsidR="00C8447D" w:rsidRPr="007C09FB" w:rsidRDefault="00C8447D" w:rsidP="000B138F">
            <w:pPr>
              <w:jc w:val="both"/>
              <w:rPr>
                <w:b/>
                <w:sz w:val="22"/>
                <w:szCs w:val="22"/>
              </w:rPr>
            </w:pPr>
            <w:r w:rsidRPr="007C09FB">
              <w:rPr>
                <w:b/>
                <w:sz w:val="22"/>
                <w:szCs w:val="22"/>
              </w:rPr>
              <w:t>What are the policy changes for health and social care staff?</w:t>
            </w:r>
          </w:p>
        </w:tc>
      </w:tr>
      <w:tr w:rsidR="00C8447D" w:rsidRPr="007C09FB" w:rsidTr="000B138F">
        <w:tc>
          <w:tcPr>
            <w:tcW w:w="11058" w:type="dxa"/>
          </w:tcPr>
          <w:p w:rsidR="00C8447D" w:rsidRPr="007C09FB" w:rsidRDefault="00C8447D" w:rsidP="000B138F">
            <w:pPr>
              <w:jc w:val="both"/>
              <w:rPr>
                <w:sz w:val="22"/>
                <w:szCs w:val="22"/>
              </w:rPr>
            </w:pPr>
            <w:r w:rsidRPr="007C09FB">
              <w:rPr>
                <w:sz w:val="22"/>
                <w:szCs w:val="22"/>
              </w:rPr>
              <w:t xml:space="preserve">Due to significant disruption in service there may be occasions where it is necessary to ask NHS and social care staff who have been identified as a close contact of someone who has tested positive for Covid-19 if they are willing to return to work within the self-isolation period in specific circumstances and in line with Public Health Scotland guidance.  In order to return to work certain requirements which are summarised below </w:t>
            </w:r>
            <w:r w:rsidRPr="007C09FB">
              <w:rPr>
                <w:b/>
                <w:sz w:val="22"/>
                <w:szCs w:val="22"/>
              </w:rPr>
              <w:t xml:space="preserve">must </w:t>
            </w:r>
            <w:r w:rsidRPr="007C09FB">
              <w:rPr>
                <w:sz w:val="22"/>
                <w:szCs w:val="22"/>
              </w:rPr>
              <w:t>be met:</w:t>
            </w:r>
          </w:p>
          <w:p w:rsidR="00C8447D" w:rsidRPr="007C09FB" w:rsidRDefault="00C8447D" w:rsidP="000B138F">
            <w:pPr>
              <w:jc w:val="both"/>
              <w:rPr>
                <w:sz w:val="22"/>
                <w:szCs w:val="22"/>
              </w:rPr>
            </w:pP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 xml:space="preserve">Staff participation in this policy is </w:t>
            </w:r>
            <w:r w:rsidRPr="007C09FB">
              <w:rPr>
                <w:rFonts w:eastAsiaTheme="minorHAnsi" w:cs="Arial"/>
                <w:b/>
                <w:sz w:val="22"/>
                <w:szCs w:val="22"/>
              </w:rPr>
              <w:t>voluntary</w:t>
            </w:r>
            <w:r w:rsidRPr="007C09FB">
              <w:rPr>
                <w:rFonts w:eastAsiaTheme="minorHAnsi" w:cs="Arial"/>
                <w:sz w:val="22"/>
                <w:szCs w:val="22"/>
              </w:rPr>
              <w:t xml:space="preserve"> and staff must be given sufficient information in discussion with the responsible manager (add service specific contact(s)) to make an informed choice before agreeing to return to work</w:t>
            </w:r>
            <w:r>
              <w:rPr>
                <w:rFonts w:eastAsiaTheme="minorHAnsi" w:cs="Arial"/>
                <w:sz w:val="22"/>
                <w:szCs w:val="22"/>
              </w:rPr>
              <w:t>;</w:t>
            </w: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All other options for securing staff resource have been exhausted in line with local bu</w:t>
            </w:r>
            <w:r>
              <w:rPr>
                <w:rFonts w:eastAsiaTheme="minorHAnsi" w:cs="Arial"/>
                <w:sz w:val="22"/>
                <w:szCs w:val="22"/>
              </w:rPr>
              <w:t>siness continuity planning;</w:t>
            </w: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An individual risk assessment</w:t>
            </w:r>
            <w:r>
              <w:rPr>
                <w:rFonts w:eastAsiaTheme="minorHAnsi" w:cs="Arial"/>
                <w:sz w:val="22"/>
                <w:szCs w:val="22"/>
              </w:rPr>
              <w:t>/checklist</w:t>
            </w:r>
            <w:r w:rsidRPr="007C09FB">
              <w:rPr>
                <w:rFonts w:eastAsiaTheme="minorHAnsi" w:cs="Arial"/>
                <w:sz w:val="22"/>
                <w:szCs w:val="22"/>
              </w:rPr>
              <w:t xml:space="preserve"> to determine suitability to return to work is completed</w:t>
            </w:r>
            <w:r>
              <w:rPr>
                <w:rFonts w:eastAsiaTheme="minorHAnsi" w:cs="Arial"/>
                <w:sz w:val="22"/>
                <w:szCs w:val="22"/>
              </w:rPr>
              <w:t>;</w:t>
            </w: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Returning staff are not resident with the person who has tested positive for Covid-19</w:t>
            </w:r>
            <w:r>
              <w:rPr>
                <w:rFonts w:eastAsiaTheme="minorHAnsi" w:cs="Arial"/>
                <w:sz w:val="22"/>
                <w:szCs w:val="22"/>
              </w:rPr>
              <w:t>;</w:t>
            </w: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The staff member is fully vaccinated at least 2 weeks prior to returning to work and are symptom free</w:t>
            </w:r>
            <w:r>
              <w:rPr>
                <w:rFonts w:eastAsiaTheme="minorHAnsi" w:cs="Arial"/>
                <w:sz w:val="22"/>
                <w:szCs w:val="22"/>
              </w:rPr>
              <w:t>;</w:t>
            </w: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The staff member has a PCR test performed and have a negative result prior to returning to work</w:t>
            </w:r>
            <w:r>
              <w:rPr>
                <w:rFonts w:eastAsiaTheme="minorHAnsi" w:cs="Arial"/>
                <w:sz w:val="22"/>
                <w:szCs w:val="22"/>
              </w:rPr>
              <w:t>;</w:t>
            </w:r>
          </w:p>
          <w:p w:rsidR="00C8447D" w:rsidRPr="007C09FB" w:rsidRDefault="00C8447D" w:rsidP="00C8447D">
            <w:pPr>
              <w:numPr>
                <w:ilvl w:val="0"/>
                <w:numId w:val="7"/>
              </w:numPr>
              <w:jc w:val="both"/>
              <w:rPr>
                <w:rFonts w:ascii="Calibri" w:eastAsiaTheme="minorHAnsi" w:hAnsi="Calibri" w:cs="Calibri"/>
                <w:sz w:val="22"/>
                <w:szCs w:val="22"/>
              </w:rPr>
            </w:pPr>
            <w:r w:rsidRPr="007C09FB">
              <w:rPr>
                <w:rFonts w:eastAsiaTheme="minorHAnsi" w:cs="Arial"/>
                <w:sz w:val="22"/>
                <w:szCs w:val="22"/>
              </w:rPr>
              <w:t xml:space="preserve">The staff member performs a daily LFD test, records results and inform manager up to day 10 from </w:t>
            </w:r>
            <w:r>
              <w:rPr>
                <w:rFonts w:eastAsiaTheme="minorHAnsi" w:cs="Arial"/>
                <w:sz w:val="22"/>
                <w:szCs w:val="22"/>
              </w:rPr>
              <w:t xml:space="preserve">covid </w:t>
            </w:r>
            <w:r w:rsidRPr="007C09FB">
              <w:rPr>
                <w:rFonts w:eastAsiaTheme="minorHAnsi" w:cs="Arial"/>
                <w:sz w:val="22"/>
                <w:szCs w:val="22"/>
              </w:rPr>
              <w:t xml:space="preserve"> exposure </w:t>
            </w:r>
            <w:hyperlink r:id="rId8" w:history="1">
              <w:r w:rsidRPr="007C09FB">
                <w:rPr>
                  <w:rFonts w:eastAsiaTheme="minorHAnsi" w:cs="Arial"/>
                  <w:color w:val="0563C1" w:themeColor="hyperlink"/>
                  <w:sz w:val="22"/>
                  <w:szCs w:val="22"/>
                  <w:u w:val="single"/>
                </w:rPr>
                <w:t>http://www.covidtestingportal.scot/</w:t>
              </w:r>
            </w:hyperlink>
            <w:r>
              <w:rPr>
                <w:rFonts w:eastAsiaTheme="minorHAnsi" w:cs="Arial"/>
                <w:color w:val="0563C1" w:themeColor="hyperlink"/>
                <w:sz w:val="22"/>
                <w:szCs w:val="22"/>
                <w:u w:val="single"/>
              </w:rPr>
              <w:t>;</w:t>
            </w:r>
            <w:r w:rsidRPr="007C09FB">
              <w:rPr>
                <w:rFonts w:eastAsiaTheme="minorHAnsi" w:cs="Arial"/>
                <w:sz w:val="22"/>
                <w:szCs w:val="22"/>
              </w:rPr>
              <w:t xml:space="preserve"> </w:t>
            </w:r>
          </w:p>
          <w:p w:rsidR="00B3756C" w:rsidRPr="00B3756C" w:rsidRDefault="00C8447D" w:rsidP="00B3756C">
            <w:pPr>
              <w:numPr>
                <w:ilvl w:val="0"/>
                <w:numId w:val="7"/>
              </w:numPr>
              <w:jc w:val="both"/>
              <w:rPr>
                <w:rFonts w:ascii="Calibri" w:eastAsiaTheme="minorHAnsi" w:hAnsi="Calibri" w:cs="Calibri"/>
                <w:sz w:val="22"/>
                <w:szCs w:val="22"/>
              </w:rPr>
            </w:pPr>
            <w:r w:rsidRPr="007C09FB">
              <w:rPr>
                <w:rFonts w:eastAsiaTheme="minorHAnsi" w:cs="Arial"/>
                <w:sz w:val="22"/>
                <w:szCs w:val="22"/>
              </w:rPr>
              <w:t xml:space="preserve">The staff member </w:t>
            </w:r>
            <w:r>
              <w:rPr>
                <w:rFonts w:eastAsiaTheme="minorHAnsi" w:cs="Arial"/>
                <w:sz w:val="22"/>
                <w:szCs w:val="22"/>
              </w:rPr>
              <w:t>agrees to minimise social contact out-</w:t>
            </w:r>
            <w:r w:rsidRPr="007C09FB">
              <w:rPr>
                <w:rFonts w:eastAsiaTheme="minorHAnsi" w:cs="Arial"/>
                <w:sz w:val="22"/>
                <w:szCs w:val="22"/>
              </w:rPr>
              <w:t xml:space="preserve">with work situations up to day 10 from </w:t>
            </w:r>
            <w:r>
              <w:rPr>
                <w:rFonts w:eastAsiaTheme="minorHAnsi" w:cs="Arial"/>
                <w:sz w:val="22"/>
                <w:szCs w:val="22"/>
              </w:rPr>
              <w:t xml:space="preserve">covid </w:t>
            </w:r>
            <w:r w:rsidRPr="00CA2FE5">
              <w:rPr>
                <w:rFonts w:eastAsiaTheme="minorHAnsi" w:cs="Arial"/>
                <w:sz w:val="22"/>
                <w:szCs w:val="22"/>
              </w:rPr>
              <w:t>exposure.</w:t>
            </w:r>
          </w:p>
          <w:p w:rsidR="00B3756C" w:rsidRPr="00B3756C" w:rsidRDefault="00B3756C" w:rsidP="00B3756C">
            <w:pPr>
              <w:numPr>
                <w:ilvl w:val="0"/>
                <w:numId w:val="7"/>
              </w:numPr>
              <w:jc w:val="both"/>
              <w:rPr>
                <w:rFonts w:ascii="Calibri" w:eastAsiaTheme="minorHAnsi" w:hAnsi="Calibri" w:cs="Calibri"/>
                <w:sz w:val="22"/>
                <w:szCs w:val="22"/>
              </w:rPr>
            </w:pPr>
            <w:r w:rsidRPr="00B3756C">
              <w:rPr>
                <w:color w:val="000000"/>
                <w:kern w:val="36"/>
                <w:sz w:val="22"/>
                <w:szCs w:val="22"/>
              </w:rPr>
              <w:t xml:space="preserve">The flexibility to wear an FFP3 mask for staff returning from self-isolation does not constitute a change to previous issued policy on the provision of PPE. These masks should only be used pursuant to a risk assessment and to assist with alleviating any overwhelming concern of the staff member in question. </w:t>
            </w:r>
          </w:p>
          <w:p w:rsidR="00B3756C" w:rsidRPr="00B3756C" w:rsidRDefault="00B3756C" w:rsidP="00B3756C">
            <w:pPr>
              <w:numPr>
                <w:ilvl w:val="0"/>
                <w:numId w:val="7"/>
              </w:numPr>
              <w:jc w:val="both"/>
              <w:rPr>
                <w:rFonts w:ascii="Calibri" w:eastAsiaTheme="minorHAnsi" w:hAnsi="Calibri" w:cs="Calibri"/>
                <w:sz w:val="22"/>
                <w:szCs w:val="22"/>
              </w:rPr>
            </w:pPr>
            <w:r w:rsidRPr="00B3756C">
              <w:rPr>
                <w:color w:val="000000"/>
                <w:kern w:val="36"/>
                <w:sz w:val="22"/>
                <w:szCs w:val="22"/>
              </w:rPr>
              <w:t xml:space="preserve">There is no evidence that FFP3 masks provide additional source control protection (i.e. additional protection to the people whom the mask wearer is caring for or in contact with), as compared with fluid resistant surgical masks (FRSM). </w:t>
            </w:r>
          </w:p>
        </w:tc>
      </w:tr>
      <w:tr w:rsidR="00C8447D" w:rsidRPr="007C09FB" w:rsidTr="000B138F">
        <w:tc>
          <w:tcPr>
            <w:tcW w:w="11058" w:type="dxa"/>
          </w:tcPr>
          <w:p w:rsidR="00C8447D" w:rsidRPr="007C09FB" w:rsidRDefault="00C8447D" w:rsidP="000B138F">
            <w:pPr>
              <w:jc w:val="both"/>
              <w:rPr>
                <w:b/>
                <w:sz w:val="22"/>
                <w:szCs w:val="22"/>
              </w:rPr>
            </w:pPr>
            <w:r w:rsidRPr="007C09FB">
              <w:rPr>
                <w:b/>
                <w:sz w:val="22"/>
                <w:szCs w:val="22"/>
              </w:rPr>
              <w:t>What is the evidence that supports the policy changes?</w:t>
            </w:r>
          </w:p>
        </w:tc>
      </w:tr>
      <w:tr w:rsidR="00C8447D" w:rsidRPr="007C09FB" w:rsidTr="000B138F">
        <w:tc>
          <w:tcPr>
            <w:tcW w:w="11058" w:type="dxa"/>
          </w:tcPr>
          <w:p w:rsidR="00C8447D" w:rsidRPr="007C09FB" w:rsidRDefault="00C8447D" w:rsidP="00C8447D">
            <w:pPr>
              <w:numPr>
                <w:ilvl w:val="0"/>
                <w:numId w:val="10"/>
              </w:numPr>
              <w:jc w:val="both"/>
              <w:rPr>
                <w:rFonts w:ascii="Calibri" w:eastAsiaTheme="minorHAnsi" w:hAnsi="Calibri" w:cs="Calibri"/>
                <w:b/>
                <w:sz w:val="22"/>
                <w:szCs w:val="22"/>
              </w:rPr>
            </w:pPr>
            <w:r w:rsidRPr="007C09FB">
              <w:rPr>
                <w:rFonts w:eastAsiaTheme="minorHAnsi" w:cs="Arial"/>
                <w:sz w:val="22"/>
                <w:szCs w:val="22"/>
              </w:rPr>
              <w:t xml:space="preserve">PHS have undertaken a detailed review of the evidence and balance of risks to staff and those they care </w:t>
            </w:r>
            <w:r>
              <w:rPr>
                <w:rFonts w:eastAsiaTheme="minorHAnsi" w:cs="Arial"/>
                <w:sz w:val="22"/>
                <w:szCs w:val="22"/>
              </w:rPr>
              <w:t xml:space="preserve">for </w:t>
            </w:r>
            <w:r w:rsidRPr="007C09FB">
              <w:rPr>
                <w:rFonts w:eastAsiaTheme="minorHAnsi" w:cs="Arial"/>
                <w:sz w:val="22"/>
                <w:szCs w:val="22"/>
              </w:rPr>
              <w:t>and support and have concluded that where mitigations are in place staff can return to work with</w:t>
            </w:r>
            <w:r w:rsidR="00E90E8D">
              <w:rPr>
                <w:rFonts w:eastAsiaTheme="minorHAnsi" w:cs="Arial"/>
                <w:sz w:val="22"/>
                <w:szCs w:val="22"/>
              </w:rPr>
              <w:t xml:space="preserve"> low</w:t>
            </w:r>
            <w:r w:rsidRPr="007C09FB">
              <w:rPr>
                <w:rFonts w:eastAsiaTheme="minorHAnsi" w:cs="Arial"/>
                <w:sz w:val="22"/>
                <w:szCs w:val="22"/>
              </w:rPr>
              <w:t xml:space="preserve"> risk.  </w:t>
            </w:r>
          </w:p>
          <w:p w:rsidR="00C8447D" w:rsidRPr="007C09FB" w:rsidRDefault="00C8447D" w:rsidP="00C8447D">
            <w:pPr>
              <w:numPr>
                <w:ilvl w:val="0"/>
                <w:numId w:val="10"/>
              </w:numPr>
              <w:jc w:val="both"/>
              <w:rPr>
                <w:rFonts w:ascii="Calibri" w:eastAsiaTheme="minorHAnsi" w:hAnsi="Calibri" w:cs="Calibri"/>
                <w:b/>
                <w:sz w:val="22"/>
                <w:szCs w:val="22"/>
              </w:rPr>
            </w:pPr>
            <w:r w:rsidRPr="007C09FB">
              <w:rPr>
                <w:rFonts w:eastAsiaTheme="minorHAnsi" w:cs="Arial"/>
                <w:sz w:val="22"/>
                <w:szCs w:val="22"/>
              </w:rPr>
              <w:t>PHS advise</w:t>
            </w:r>
            <w:r>
              <w:rPr>
                <w:rFonts w:eastAsiaTheme="minorHAnsi" w:cs="Arial"/>
                <w:sz w:val="22"/>
                <w:szCs w:val="22"/>
              </w:rPr>
              <w:t xml:space="preserve"> that with</w:t>
            </w:r>
            <w:r w:rsidRPr="007C09FB">
              <w:rPr>
                <w:rFonts w:eastAsiaTheme="minorHAnsi" w:cs="Arial"/>
                <w:sz w:val="22"/>
                <w:szCs w:val="22"/>
              </w:rPr>
              <w:t xml:space="preserve"> the mitigations of double vaccination, no ongoing exposure to covid case, no symptoms, PCR and ongoing LFD testing in place</w:t>
            </w:r>
            <w:r>
              <w:rPr>
                <w:rFonts w:eastAsiaTheme="minorHAnsi" w:cs="Arial"/>
                <w:sz w:val="22"/>
                <w:szCs w:val="22"/>
              </w:rPr>
              <w:t>,</w:t>
            </w:r>
            <w:r w:rsidRPr="007C09FB">
              <w:rPr>
                <w:rFonts w:eastAsiaTheme="minorHAnsi" w:cs="Arial"/>
                <w:sz w:val="22"/>
                <w:szCs w:val="22"/>
              </w:rPr>
              <w:t xml:space="preserve"> the risk is extremely small </w:t>
            </w:r>
            <w:r>
              <w:rPr>
                <w:rFonts w:eastAsiaTheme="minorHAnsi" w:cs="Arial"/>
                <w:sz w:val="22"/>
                <w:szCs w:val="22"/>
              </w:rPr>
              <w:t>(</w:t>
            </w:r>
            <w:r w:rsidRPr="007C09FB">
              <w:rPr>
                <w:rFonts w:eastAsiaTheme="minorHAnsi" w:cs="Arial"/>
                <w:sz w:val="22"/>
                <w:szCs w:val="22"/>
              </w:rPr>
              <w:t>bordering on negligible</w:t>
            </w:r>
            <w:r>
              <w:rPr>
                <w:rFonts w:eastAsiaTheme="minorHAnsi" w:cs="Arial"/>
                <w:sz w:val="22"/>
                <w:szCs w:val="22"/>
              </w:rPr>
              <w:t>)</w:t>
            </w:r>
            <w:r w:rsidRPr="007C09FB">
              <w:rPr>
                <w:rFonts w:eastAsiaTheme="minorHAnsi" w:cs="Arial"/>
                <w:sz w:val="22"/>
                <w:szCs w:val="22"/>
              </w:rPr>
              <w:t xml:space="preserve"> and far outweigh</w:t>
            </w:r>
            <w:r>
              <w:rPr>
                <w:rFonts w:eastAsiaTheme="minorHAnsi" w:cs="Arial"/>
                <w:sz w:val="22"/>
                <w:szCs w:val="22"/>
              </w:rPr>
              <w:t>ed by</w:t>
            </w:r>
            <w:r w:rsidRPr="007C09FB">
              <w:rPr>
                <w:rFonts w:eastAsiaTheme="minorHAnsi" w:cs="Arial"/>
                <w:sz w:val="22"/>
                <w:szCs w:val="22"/>
              </w:rPr>
              <w:t xml:space="preserve"> the risk to service users and the wellbeing of staff where there are severe and significant staff deficits.</w:t>
            </w:r>
          </w:p>
          <w:p w:rsidR="00C8447D" w:rsidRPr="007C09FB" w:rsidRDefault="00C8447D" w:rsidP="00C8447D">
            <w:pPr>
              <w:numPr>
                <w:ilvl w:val="0"/>
                <w:numId w:val="10"/>
              </w:numPr>
              <w:jc w:val="both"/>
              <w:rPr>
                <w:rFonts w:ascii="Calibri" w:eastAsiaTheme="minorHAnsi" w:hAnsi="Calibri" w:cs="Calibri"/>
                <w:b/>
                <w:sz w:val="22"/>
                <w:szCs w:val="22"/>
              </w:rPr>
            </w:pPr>
            <w:r w:rsidRPr="007C09FB">
              <w:rPr>
                <w:rFonts w:eastAsiaTheme="minorHAnsi" w:cs="Arial"/>
                <w:sz w:val="22"/>
                <w:szCs w:val="22"/>
              </w:rPr>
              <w:t>BMJ study of HCSWs and household contacts showed that vaccine was effective at preventing spread</w:t>
            </w:r>
            <w:r>
              <w:rPr>
                <w:rFonts w:eastAsiaTheme="minorHAnsi" w:cs="Arial"/>
                <w:sz w:val="22"/>
                <w:szCs w:val="22"/>
              </w:rPr>
              <w:t>.</w:t>
            </w:r>
            <w:r w:rsidR="00B3756C">
              <w:rPr>
                <w:rStyle w:val="EndnoteReference"/>
                <w:rFonts w:eastAsiaTheme="minorHAnsi" w:cs="Arial"/>
                <w:sz w:val="22"/>
                <w:szCs w:val="22"/>
              </w:rPr>
              <w:endnoteReference w:id="1"/>
            </w:r>
          </w:p>
          <w:p w:rsidR="00C8447D" w:rsidRPr="007C09FB" w:rsidRDefault="00C8447D" w:rsidP="00C8447D">
            <w:pPr>
              <w:numPr>
                <w:ilvl w:val="0"/>
                <w:numId w:val="10"/>
              </w:numPr>
              <w:jc w:val="both"/>
              <w:rPr>
                <w:rFonts w:ascii="Calibri" w:eastAsiaTheme="minorHAnsi" w:hAnsi="Calibri" w:cs="Calibri"/>
                <w:b/>
                <w:sz w:val="22"/>
                <w:szCs w:val="22"/>
              </w:rPr>
            </w:pPr>
            <w:r w:rsidRPr="007C09FB">
              <w:rPr>
                <w:rFonts w:eastAsiaTheme="minorHAnsi" w:cs="Arial"/>
                <w:sz w:val="22"/>
                <w:szCs w:val="22"/>
              </w:rPr>
              <w:t>Vaccine studies have shown that vaccines are effective against the delta variant, particularly two weeks following completion of second vaccine</w:t>
            </w:r>
            <w:r>
              <w:rPr>
                <w:rFonts w:eastAsiaTheme="minorHAnsi" w:cs="Arial"/>
                <w:sz w:val="22"/>
                <w:szCs w:val="22"/>
              </w:rPr>
              <w:t>.</w:t>
            </w:r>
            <w:r w:rsidR="00B3756C">
              <w:rPr>
                <w:rStyle w:val="EndnoteReference"/>
                <w:rFonts w:eastAsiaTheme="minorHAnsi" w:cs="Arial"/>
                <w:sz w:val="22"/>
                <w:szCs w:val="22"/>
              </w:rPr>
              <w:endnoteReference w:id="2"/>
            </w:r>
            <w:r w:rsidR="00B3756C">
              <w:rPr>
                <w:rFonts w:eastAsiaTheme="minorHAnsi" w:cs="Arial"/>
                <w:sz w:val="22"/>
                <w:szCs w:val="22"/>
              </w:rPr>
              <w:t xml:space="preserve"> </w:t>
            </w:r>
            <w:r w:rsidR="00B3756C">
              <w:rPr>
                <w:rStyle w:val="EndnoteReference"/>
                <w:rFonts w:eastAsiaTheme="minorHAnsi" w:cs="Arial"/>
                <w:sz w:val="22"/>
                <w:szCs w:val="22"/>
              </w:rPr>
              <w:endnoteReference w:id="3"/>
            </w:r>
          </w:p>
          <w:p w:rsidR="00C8447D" w:rsidRPr="007C09FB" w:rsidRDefault="00C8447D" w:rsidP="00B3756C">
            <w:pPr>
              <w:numPr>
                <w:ilvl w:val="0"/>
                <w:numId w:val="10"/>
              </w:numPr>
              <w:jc w:val="both"/>
              <w:rPr>
                <w:rFonts w:ascii="Calibri" w:eastAsiaTheme="minorHAnsi" w:hAnsi="Calibri" w:cs="Calibri"/>
                <w:b/>
                <w:sz w:val="22"/>
                <w:szCs w:val="22"/>
              </w:rPr>
            </w:pPr>
            <w:r w:rsidRPr="007C09FB">
              <w:rPr>
                <w:rFonts w:eastAsiaTheme="minorHAnsi" w:cs="Arial"/>
                <w:sz w:val="22"/>
                <w:szCs w:val="22"/>
              </w:rPr>
              <w:t>Lateral flow tests are effective at picking up delta variant</w:t>
            </w:r>
            <w:r>
              <w:rPr>
                <w:rFonts w:eastAsiaTheme="minorHAnsi" w:cs="Arial"/>
                <w:sz w:val="22"/>
                <w:szCs w:val="22"/>
              </w:rPr>
              <w:t>.</w:t>
            </w:r>
            <w:r w:rsidR="00B3756C">
              <w:rPr>
                <w:rFonts w:eastAsiaTheme="minorHAnsi" w:cs="Arial"/>
                <w:sz w:val="22"/>
                <w:szCs w:val="22"/>
              </w:rPr>
              <w:t xml:space="preserve"> </w:t>
            </w:r>
            <w:r w:rsidR="00B3756C">
              <w:rPr>
                <w:rStyle w:val="EndnoteReference"/>
                <w:rFonts w:eastAsiaTheme="minorHAnsi" w:cs="Arial"/>
                <w:sz w:val="22"/>
                <w:szCs w:val="22"/>
              </w:rPr>
              <w:endnoteReference w:id="4"/>
            </w:r>
          </w:p>
        </w:tc>
      </w:tr>
      <w:tr w:rsidR="00C8447D" w:rsidRPr="007C09FB" w:rsidTr="000B138F">
        <w:tc>
          <w:tcPr>
            <w:tcW w:w="11058" w:type="dxa"/>
          </w:tcPr>
          <w:p w:rsidR="00C8447D" w:rsidRPr="007C09FB" w:rsidRDefault="00C8447D" w:rsidP="000B138F">
            <w:pPr>
              <w:jc w:val="both"/>
              <w:rPr>
                <w:b/>
                <w:sz w:val="22"/>
                <w:szCs w:val="22"/>
              </w:rPr>
            </w:pPr>
            <w:r w:rsidRPr="007C09FB">
              <w:rPr>
                <w:b/>
                <w:sz w:val="22"/>
                <w:szCs w:val="22"/>
              </w:rPr>
              <w:t>What staff can expect from their employer</w:t>
            </w:r>
          </w:p>
        </w:tc>
      </w:tr>
      <w:tr w:rsidR="00C8447D" w:rsidRPr="007C09FB" w:rsidTr="000B138F">
        <w:tc>
          <w:tcPr>
            <w:tcW w:w="11058" w:type="dxa"/>
          </w:tcPr>
          <w:p w:rsidR="00C8447D" w:rsidRPr="007C09FB" w:rsidRDefault="00C8447D" w:rsidP="00C8447D">
            <w:pPr>
              <w:numPr>
                <w:ilvl w:val="0"/>
                <w:numId w:val="8"/>
              </w:numPr>
              <w:jc w:val="both"/>
              <w:rPr>
                <w:rFonts w:ascii="Calibri" w:eastAsiaTheme="minorHAnsi" w:hAnsi="Calibri" w:cs="Calibri"/>
                <w:sz w:val="22"/>
                <w:szCs w:val="22"/>
              </w:rPr>
            </w:pPr>
            <w:r w:rsidRPr="007C09FB">
              <w:rPr>
                <w:rFonts w:eastAsiaTheme="minorHAnsi" w:cs="Arial"/>
                <w:sz w:val="22"/>
                <w:szCs w:val="22"/>
              </w:rPr>
              <w:t xml:space="preserve">That the staffing risk has been escalated to the most senior level and is such that there is a significant risk to </w:t>
            </w:r>
            <w:r>
              <w:rPr>
                <w:rFonts w:eastAsiaTheme="minorHAnsi" w:cs="Arial"/>
                <w:sz w:val="22"/>
                <w:szCs w:val="22"/>
              </w:rPr>
              <w:t xml:space="preserve">the </w:t>
            </w:r>
            <w:r w:rsidRPr="007C09FB">
              <w:rPr>
                <w:rFonts w:eastAsiaTheme="minorHAnsi" w:cs="Arial"/>
                <w:sz w:val="22"/>
                <w:szCs w:val="22"/>
              </w:rPr>
              <w:t xml:space="preserve">care </w:t>
            </w:r>
            <w:r>
              <w:rPr>
                <w:rFonts w:eastAsiaTheme="minorHAnsi" w:cs="Arial"/>
                <w:sz w:val="22"/>
                <w:szCs w:val="22"/>
              </w:rPr>
              <w:t xml:space="preserve">and safety </w:t>
            </w:r>
            <w:r w:rsidRPr="007C09FB">
              <w:rPr>
                <w:rFonts w:eastAsiaTheme="minorHAnsi" w:cs="Arial"/>
                <w:sz w:val="22"/>
                <w:szCs w:val="22"/>
              </w:rPr>
              <w:t>of service users and wellbeing of other staff</w:t>
            </w:r>
            <w:r>
              <w:rPr>
                <w:rFonts w:eastAsiaTheme="minorHAnsi" w:cs="Arial"/>
                <w:sz w:val="22"/>
                <w:szCs w:val="22"/>
              </w:rPr>
              <w:t>.</w:t>
            </w:r>
          </w:p>
          <w:p w:rsidR="00C8447D" w:rsidRPr="007C09FB" w:rsidRDefault="00C8447D" w:rsidP="00C8447D">
            <w:pPr>
              <w:numPr>
                <w:ilvl w:val="0"/>
                <w:numId w:val="8"/>
              </w:numPr>
              <w:jc w:val="both"/>
              <w:rPr>
                <w:rFonts w:ascii="Calibri" w:eastAsiaTheme="minorHAnsi" w:hAnsi="Calibri" w:cs="Calibri"/>
                <w:sz w:val="22"/>
                <w:szCs w:val="22"/>
              </w:rPr>
            </w:pPr>
            <w:r w:rsidRPr="007C09FB">
              <w:rPr>
                <w:rFonts w:eastAsiaTheme="minorHAnsi" w:cs="Arial"/>
                <w:sz w:val="22"/>
                <w:szCs w:val="22"/>
              </w:rPr>
              <w:t>That all other business continuity contingency planning to manage major service disruption due to staff availability has been exhausted and decisions and actions recorded prior to enact</w:t>
            </w:r>
            <w:r>
              <w:rPr>
                <w:rFonts w:eastAsiaTheme="minorHAnsi" w:cs="Arial"/>
                <w:sz w:val="22"/>
                <w:szCs w:val="22"/>
              </w:rPr>
              <w:t xml:space="preserve">ing </w:t>
            </w:r>
            <w:r w:rsidRPr="007C09FB">
              <w:rPr>
                <w:rFonts w:eastAsiaTheme="minorHAnsi" w:cs="Arial"/>
                <w:sz w:val="22"/>
                <w:szCs w:val="22"/>
              </w:rPr>
              <w:t>this policy</w:t>
            </w:r>
            <w:r>
              <w:rPr>
                <w:rFonts w:eastAsiaTheme="minorHAnsi" w:cs="Arial"/>
                <w:sz w:val="22"/>
                <w:szCs w:val="22"/>
              </w:rPr>
              <w:t>.</w:t>
            </w:r>
          </w:p>
          <w:p w:rsidR="00C8447D" w:rsidRPr="007C09FB" w:rsidRDefault="00C8447D" w:rsidP="00C8447D">
            <w:pPr>
              <w:numPr>
                <w:ilvl w:val="0"/>
                <w:numId w:val="8"/>
              </w:numPr>
              <w:jc w:val="both"/>
              <w:rPr>
                <w:rFonts w:ascii="Calibri" w:eastAsiaTheme="minorHAnsi" w:hAnsi="Calibri" w:cs="Calibri"/>
                <w:sz w:val="22"/>
                <w:szCs w:val="22"/>
              </w:rPr>
            </w:pPr>
            <w:r w:rsidRPr="007C09FB">
              <w:rPr>
                <w:rFonts w:eastAsiaTheme="minorHAnsi" w:cs="Arial"/>
                <w:sz w:val="22"/>
                <w:szCs w:val="22"/>
              </w:rPr>
              <w:t>That staff who are requested to return to work are informed that it is voluntary and are provided with information to make an informed decision about returning and can discuss any concerns they may have</w:t>
            </w:r>
            <w:r>
              <w:rPr>
                <w:rFonts w:eastAsiaTheme="minorHAnsi" w:cs="Arial"/>
                <w:sz w:val="22"/>
                <w:szCs w:val="22"/>
              </w:rPr>
              <w:t>.</w:t>
            </w:r>
          </w:p>
          <w:p w:rsidR="00C8447D" w:rsidRPr="007C09FB" w:rsidRDefault="00C8447D" w:rsidP="00C8447D">
            <w:pPr>
              <w:numPr>
                <w:ilvl w:val="0"/>
                <w:numId w:val="8"/>
              </w:numPr>
              <w:jc w:val="both"/>
              <w:rPr>
                <w:rFonts w:ascii="Calibri" w:eastAsiaTheme="minorHAnsi" w:hAnsi="Calibri" w:cs="Calibri"/>
                <w:sz w:val="22"/>
                <w:szCs w:val="22"/>
              </w:rPr>
            </w:pPr>
            <w:r w:rsidRPr="007C09FB">
              <w:rPr>
                <w:rFonts w:eastAsiaTheme="minorHAnsi" w:cs="Arial"/>
                <w:sz w:val="22"/>
                <w:szCs w:val="22"/>
              </w:rPr>
              <w:t>That an individual risk assessment</w:t>
            </w:r>
            <w:r>
              <w:rPr>
                <w:rStyle w:val="CommentReference"/>
                <w:rFonts w:eastAsiaTheme="minorHAnsi" w:cs="Arial"/>
                <w:sz w:val="22"/>
                <w:szCs w:val="22"/>
                <w:lang w:eastAsia="en-GB"/>
              </w:rPr>
              <w:t>/checklist</w:t>
            </w:r>
            <w:r w:rsidRPr="007C09FB">
              <w:rPr>
                <w:rFonts w:eastAsiaTheme="minorHAnsi" w:cs="Arial"/>
                <w:sz w:val="22"/>
                <w:szCs w:val="22"/>
              </w:rPr>
              <w:t xml:space="preserve"> completed in discussion with the staff member prior to staff returning.  This should record vaccination status, PCR results, identifies that staff have no covid-19 symptoms and records provision of LFD testing kits</w:t>
            </w:r>
            <w:r>
              <w:rPr>
                <w:rFonts w:eastAsiaTheme="minorHAnsi" w:cs="Arial"/>
                <w:sz w:val="22"/>
                <w:szCs w:val="22"/>
              </w:rPr>
              <w:t>.</w:t>
            </w:r>
          </w:p>
          <w:p w:rsidR="00C8447D" w:rsidRPr="007C09FB" w:rsidRDefault="00C8447D" w:rsidP="00C8447D">
            <w:pPr>
              <w:numPr>
                <w:ilvl w:val="0"/>
                <w:numId w:val="8"/>
              </w:numPr>
              <w:jc w:val="both"/>
              <w:rPr>
                <w:rFonts w:ascii="Calibri" w:eastAsiaTheme="minorHAnsi" w:hAnsi="Calibri" w:cs="Calibri"/>
                <w:sz w:val="22"/>
                <w:szCs w:val="22"/>
              </w:rPr>
            </w:pPr>
            <w:r w:rsidRPr="007C09FB">
              <w:rPr>
                <w:rFonts w:eastAsiaTheme="minorHAnsi" w:cs="Arial"/>
                <w:sz w:val="22"/>
                <w:szCs w:val="22"/>
              </w:rPr>
              <w:t>That staff are supported to record daily LFD results on the NSS portal</w:t>
            </w:r>
            <w:r>
              <w:rPr>
                <w:rFonts w:eastAsiaTheme="minorHAnsi" w:cs="Arial"/>
                <w:sz w:val="22"/>
                <w:szCs w:val="22"/>
              </w:rPr>
              <w:t xml:space="preserve">. </w:t>
            </w:r>
            <w:hyperlink r:id="rId9" w:history="1">
              <w:r w:rsidRPr="007C09FB">
                <w:rPr>
                  <w:rFonts w:eastAsiaTheme="minorHAnsi" w:cs="Arial"/>
                  <w:color w:val="0563C1" w:themeColor="hyperlink"/>
                  <w:sz w:val="22"/>
                  <w:szCs w:val="22"/>
                  <w:u w:val="single"/>
                </w:rPr>
                <w:t>http://www.covidtestingportal.scot/</w:t>
              </w:r>
            </w:hyperlink>
            <w:r>
              <w:rPr>
                <w:rFonts w:eastAsiaTheme="minorHAnsi" w:cs="Arial"/>
                <w:color w:val="0563C1" w:themeColor="hyperlink"/>
                <w:sz w:val="22"/>
                <w:szCs w:val="22"/>
                <w:u w:val="single"/>
              </w:rPr>
              <w:t>;</w:t>
            </w:r>
          </w:p>
          <w:p w:rsidR="00C8447D" w:rsidRPr="007C09FB" w:rsidRDefault="00C8447D" w:rsidP="00C8447D">
            <w:pPr>
              <w:numPr>
                <w:ilvl w:val="0"/>
                <w:numId w:val="8"/>
              </w:numPr>
              <w:jc w:val="both"/>
              <w:rPr>
                <w:rFonts w:ascii="Calibri" w:eastAsiaTheme="minorHAnsi" w:hAnsi="Calibri" w:cs="Calibri"/>
                <w:sz w:val="22"/>
                <w:szCs w:val="22"/>
              </w:rPr>
            </w:pPr>
            <w:r w:rsidRPr="007C09FB">
              <w:rPr>
                <w:rFonts w:eastAsiaTheme="minorHAnsi" w:cs="Arial"/>
                <w:sz w:val="22"/>
                <w:szCs w:val="22"/>
              </w:rPr>
              <w:t>That returning staff are not deployed to where the risk of Covid related infection is particularly detri</w:t>
            </w:r>
            <w:r>
              <w:rPr>
                <w:rFonts w:eastAsiaTheme="minorHAnsi" w:cs="Arial"/>
                <w:sz w:val="22"/>
                <w:szCs w:val="22"/>
              </w:rPr>
              <w:t xml:space="preserve">mental to patient/service user </w:t>
            </w:r>
            <w:r w:rsidRPr="007C09FB">
              <w:rPr>
                <w:rFonts w:eastAsiaTheme="minorHAnsi" w:cs="Arial"/>
                <w:sz w:val="22"/>
                <w:szCs w:val="22"/>
              </w:rPr>
              <w:t>outcomes e.g. severely immunocompromised, elective surgery, social care service users with complex needs or who were in the shielding categories</w:t>
            </w:r>
            <w:r>
              <w:rPr>
                <w:rFonts w:eastAsiaTheme="minorHAnsi" w:cs="Arial"/>
                <w:sz w:val="22"/>
                <w:szCs w:val="22"/>
              </w:rPr>
              <w:t>.</w:t>
            </w:r>
          </w:p>
        </w:tc>
      </w:tr>
      <w:tr w:rsidR="00C8447D" w:rsidRPr="007C09FB" w:rsidTr="000B138F">
        <w:tc>
          <w:tcPr>
            <w:tcW w:w="11058" w:type="dxa"/>
          </w:tcPr>
          <w:p w:rsidR="00C8447D" w:rsidRPr="007C09FB" w:rsidRDefault="00C8447D" w:rsidP="000B138F">
            <w:pPr>
              <w:jc w:val="both"/>
              <w:rPr>
                <w:b/>
                <w:sz w:val="22"/>
                <w:szCs w:val="22"/>
              </w:rPr>
            </w:pPr>
            <w:r w:rsidRPr="007C09FB">
              <w:rPr>
                <w:b/>
                <w:sz w:val="22"/>
                <w:szCs w:val="22"/>
              </w:rPr>
              <w:t>What employers should expect from staff</w:t>
            </w:r>
          </w:p>
        </w:tc>
      </w:tr>
      <w:tr w:rsidR="00C8447D" w:rsidRPr="007C09FB" w:rsidTr="000B138F">
        <w:tc>
          <w:tcPr>
            <w:tcW w:w="11058" w:type="dxa"/>
          </w:tcPr>
          <w:p w:rsidR="00C8447D" w:rsidRPr="007C09FB" w:rsidRDefault="00C8447D" w:rsidP="00C8447D">
            <w:pPr>
              <w:numPr>
                <w:ilvl w:val="0"/>
                <w:numId w:val="9"/>
              </w:numPr>
              <w:jc w:val="both"/>
              <w:rPr>
                <w:rFonts w:ascii="Calibri" w:eastAsiaTheme="minorHAnsi" w:hAnsi="Calibri" w:cs="Calibri"/>
                <w:b/>
                <w:sz w:val="22"/>
                <w:szCs w:val="22"/>
              </w:rPr>
            </w:pPr>
            <w:r w:rsidRPr="007C09FB">
              <w:rPr>
                <w:rFonts w:eastAsiaTheme="minorHAnsi" w:cs="Arial"/>
                <w:sz w:val="22"/>
                <w:szCs w:val="22"/>
              </w:rPr>
              <w:t>That they should have read the fact sheet to familiarise themselves with the policy and are</w:t>
            </w:r>
            <w:r>
              <w:rPr>
                <w:rFonts w:eastAsiaTheme="minorHAnsi" w:cs="Arial"/>
                <w:sz w:val="22"/>
                <w:szCs w:val="22"/>
              </w:rPr>
              <w:t>,</w:t>
            </w:r>
            <w:r w:rsidRPr="007C09FB">
              <w:rPr>
                <w:rFonts w:eastAsiaTheme="minorHAnsi" w:cs="Arial"/>
                <w:sz w:val="22"/>
                <w:szCs w:val="22"/>
              </w:rPr>
              <w:t xml:space="preserve"> </w:t>
            </w:r>
            <w:r>
              <w:rPr>
                <w:rFonts w:eastAsiaTheme="minorHAnsi" w:cs="Arial"/>
                <w:sz w:val="22"/>
                <w:szCs w:val="22"/>
              </w:rPr>
              <w:t xml:space="preserve">having made an informed and voluntary decision, </w:t>
            </w:r>
            <w:r w:rsidRPr="007C09FB">
              <w:rPr>
                <w:rFonts w:eastAsiaTheme="minorHAnsi" w:cs="Arial"/>
                <w:sz w:val="22"/>
                <w:szCs w:val="22"/>
              </w:rPr>
              <w:t>willing to return to work in response to significant service disruption</w:t>
            </w:r>
            <w:r>
              <w:rPr>
                <w:rFonts w:eastAsiaTheme="minorHAnsi" w:cs="Arial"/>
                <w:sz w:val="22"/>
                <w:szCs w:val="22"/>
              </w:rPr>
              <w:t>.</w:t>
            </w:r>
          </w:p>
          <w:p w:rsidR="00C8447D" w:rsidRPr="007C09FB" w:rsidRDefault="00C8447D" w:rsidP="00C8447D">
            <w:pPr>
              <w:numPr>
                <w:ilvl w:val="0"/>
                <w:numId w:val="9"/>
              </w:numPr>
              <w:jc w:val="both"/>
              <w:rPr>
                <w:rFonts w:ascii="Calibri" w:eastAsiaTheme="minorHAnsi" w:hAnsi="Calibri" w:cs="Calibri"/>
                <w:b/>
                <w:sz w:val="22"/>
                <w:szCs w:val="22"/>
              </w:rPr>
            </w:pPr>
            <w:r w:rsidRPr="007C09FB">
              <w:rPr>
                <w:rFonts w:eastAsiaTheme="minorHAnsi" w:cs="Arial"/>
                <w:sz w:val="22"/>
                <w:szCs w:val="22"/>
              </w:rPr>
              <w:t>That they participate in completion of the risk assessment and discussion with manager prior to return to work</w:t>
            </w:r>
            <w:r>
              <w:rPr>
                <w:rFonts w:eastAsiaTheme="minorHAnsi" w:cs="Arial"/>
                <w:sz w:val="22"/>
                <w:szCs w:val="22"/>
              </w:rPr>
              <w:t>.</w:t>
            </w:r>
          </w:p>
          <w:p w:rsidR="00C8447D" w:rsidRPr="002A13C0" w:rsidRDefault="00C8447D" w:rsidP="00C8447D">
            <w:pPr>
              <w:numPr>
                <w:ilvl w:val="0"/>
                <w:numId w:val="9"/>
              </w:numPr>
              <w:jc w:val="both"/>
              <w:rPr>
                <w:rFonts w:ascii="Calibri" w:eastAsiaTheme="minorHAnsi" w:hAnsi="Calibri" w:cs="Calibri"/>
                <w:b/>
                <w:sz w:val="22"/>
                <w:szCs w:val="22"/>
              </w:rPr>
            </w:pPr>
            <w:r w:rsidRPr="007C09FB">
              <w:rPr>
                <w:rFonts w:eastAsiaTheme="minorHAnsi" w:cs="Arial"/>
                <w:sz w:val="22"/>
                <w:szCs w:val="22"/>
              </w:rPr>
              <w:t xml:space="preserve">They undertake a PCR test (from local Health Board or through NHS Inform) and provide result to employer prior to returning to work </w:t>
            </w:r>
            <w:hyperlink r:id="rId10" w:history="1">
              <w:r w:rsidRPr="002A13C0">
                <w:rPr>
                  <w:color w:val="0000FF"/>
                  <w:sz w:val="22"/>
                  <w:szCs w:val="22"/>
                  <w:u w:val="single"/>
                </w:rPr>
                <w:t>Get a free PCR test to check if you have coronavirus (COVID-19) - GOV.UK (www.gov.uk)</w:t>
              </w:r>
            </w:hyperlink>
            <w:r w:rsidRPr="002A13C0">
              <w:rPr>
                <w:color w:val="0000FF"/>
                <w:sz w:val="22"/>
                <w:szCs w:val="22"/>
                <w:u w:val="single"/>
              </w:rPr>
              <w:t>.</w:t>
            </w:r>
          </w:p>
          <w:p w:rsidR="00C8447D" w:rsidRPr="002A13C0" w:rsidRDefault="00C8447D" w:rsidP="00C8447D">
            <w:pPr>
              <w:numPr>
                <w:ilvl w:val="0"/>
                <w:numId w:val="9"/>
              </w:numPr>
              <w:jc w:val="both"/>
              <w:rPr>
                <w:rFonts w:ascii="Calibri" w:eastAsiaTheme="minorHAnsi" w:hAnsi="Calibri" w:cs="Calibri"/>
                <w:b/>
                <w:sz w:val="22"/>
                <w:szCs w:val="22"/>
              </w:rPr>
            </w:pPr>
            <w:r w:rsidRPr="002A13C0">
              <w:rPr>
                <w:rFonts w:eastAsiaTheme="minorHAnsi" w:cs="Arial"/>
                <w:sz w:val="22"/>
                <w:szCs w:val="22"/>
              </w:rPr>
              <w:t xml:space="preserve">That they agree to perform daily LFD tests and inform employer of results up to 10 days from exposure </w:t>
            </w:r>
            <w:r>
              <w:rPr>
                <w:rFonts w:eastAsiaTheme="minorHAnsi" w:cs="Arial"/>
                <w:sz w:val="22"/>
                <w:szCs w:val="22"/>
              </w:rPr>
              <w:t>(</w:t>
            </w:r>
            <w:r w:rsidRPr="002A13C0">
              <w:rPr>
                <w:rFonts w:eastAsiaTheme="minorHAnsi" w:cs="Arial"/>
                <w:sz w:val="22"/>
                <w:szCs w:val="22"/>
              </w:rPr>
              <w:t>to the person who has tested positive to Covid-19</w:t>
            </w:r>
            <w:r>
              <w:rPr>
                <w:rFonts w:eastAsiaTheme="minorHAnsi" w:cs="Arial"/>
                <w:sz w:val="22"/>
                <w:szCs w:val="22"/>
              </w:rPr>
              <w:t xml:space="preserve">). </w:t>
            </w:r>
          </w:p>
          <w:p w:rsidR="00C8447D" w:rsidRPr="007C09FB" w:rsidRDefault="00C8447D" w:rsidP="00C8447D">
            <w:pPr>
              <w:numPr>
                <w:ilvl w:val="0"/>
                <w:numId w:val="9"/>
              </w:numPr>
              <w:jc w:val="both"/>
              <w:rPr>
                <w:rFonts w:ascii="Calibri" w:eastAsiaTheme="minorHAnsi" w:hAnsi="Calibri" w:cs="Calibri"/>
                <w:b/>
                <w:sz w:val="22"/>
                <w:szCs w:val="22"/>
              </w:rPr>
            </w:pPr>
            <w:r w:rsidRPr="007C09FB">
              <w:rPr>
                <w:rFonts w:eastAsiaTheme="minorHAnsi" w:cs="Arial"/>
                <w:sz w:val="22"/>
                <w:szCs w:val="22"/>
              </w:rPr>
              <w:t>That they adhere to IPC procedures ensuring appropriate use of PPE at all times</w:t>
            </w:r>
            <w:r>
              <w:rPr>
                <w:rFonts w:eastAsiaTheme="minorHAnsi" w:cs="Arial"/>
                <w:sz w:val="22"/>
                <w:szCs w:val="22"/>
              </w:rPr>
              <w:t>.</w:t>
            </w:r>
          </w:p>
          <w:p w:rsidR="00C8447D" w:rsidRPr="007C09FB" w:rsidRDefault="00C8447D" w:rsidP="00C8447D">
            <w:pPr>
              <w:numPr>
                <w:ilvl w:val="0"/>
                <w:numId w:val="9"/>
              </w:numPr>
              <w:jc w:val="both"/>
              <w:rPr>
                <w:rFonts w:ascii="Calibri" w:eastAsiaTheme="minorHAnsi" w:hAnsi="Calibri" w:cs="Calibri"/>
                <w:b/>
                <w:sz w:val="22"/>
                <w:szCs w:val="22"/>
              </w:rPr>
            </w:pPr>
            <w:r w:rsidRPr="007C09FB">
              <w:rPr>
                <w:rFonts w:eastAsiaTheme="minorHAnsi" w:cs="Arial"/>
                <w:sz w:val="22"/>
                <w:szCs w:val="22"/>
              </w:rPr>
              <w:t xml:space="preserve">That they refrain from work, inform manager and book a PCR test if symptoms develop or if a positive LFD result </w:t>
            </w:r>
            <w:r>
              <w:rPr>
                <w:rFonts w:eastAsiaTheme="minorHAnsi" w:cs="Arial"/>
                <w:sz w:val="22"/>
                <w:szCs w:val="22"/>
              </w:rPr>
              <w:t xml:space="preserve">is </w:t>
            </w:r>
            <w:r w:rsidRPr="007C09FB">
              <w:rPr>
                <w:rFonts w:eastAsiaTheme="minorHAnsi" w:cs="Arial"/>
                <w:sz w:val="22"/>
                <w:szCs w:val="22"/>
              </w:rPr>
              <w:t>obtained</w:t>
            </w:r>
            <w:r>
              <w:rPr>
                <w:rFonts w:eastAsiaTheme="minorHAnsi" w:cs="Arial"/>
                <w:sz w:val="22"/>
                <w:szCs w:val="22"/>
              </w:rPr>
              <w:t>.</w:t>
            </w:r>
          </w:p>
          <w:p w:rsidR="00C8447D" w:rsidRPr="002A13C0" w:rsidRDefault="00C8447D" w:rsidP="00C8447D">
            <w:pPr>
              <w:numPr>
                <w:ilvl w:val="0"/>
                <w:numId w:val="9"/>
              </w:numPr>
              <w:jc w:val="both"/>
              <w:rPr>
                <w:rFonts w:ascii="Calibri" w:eastAsiaTheme="minorHAnsi" w:hAnsi="Calibri" w:cs="Calibri"/>
                <w:b/>
                <w:sz w:val="22"/>
                <w:szCs w:val="22"/>
              </w:rPr>
            </w:pPr>
            <w:r w:rsidRPr="007C09FB">
              <w:rPr>
                <w:rFonts w:eastAsiaTheme="minorHAnsi" w:cs="Arial"/>
                <w:sz w:val="22"/>
                <w:szCs w:val="22"/>
              </w:rPr>
              <w:t>Although mitigations of additional testing significantly reduces the risk of transmission it is not risk free and therefore staff should mini</w:t>
            </w:r>
            <w:r>
              <w:rPr>
                <w:rFonts w:eastAsiaTheme="minorHAnsi" w:cs="Arial"/>
                <w:sz w:val="22"/>
                <w:szCs w:val="22"/>
              </w:rPr>
              <w:t>mise the number of contacts out-</w:t>
            </w:r>
            <w:r w:rsidRPr="007C09FB">
              <w:rPr>
                <w:rFonts w:eastAsiaTheme="minorHAnsi" w:cs="Arial"/>
                <w:sz w:val="22"/>
                <w:szCs w:val="22"/>
              </w:rPr>
              <w:t>with work situations and avoid crowded places and public transport as much as possible.</w:t>
            </w:r>
          </w:p>
        </w:tc>
      </w:tr>
    </w:tbl>
    <w:p w:rsidR="00C8447D" w:rsidRPr="009B7615" w:rsidRDefault="00C8447D" w:rsidP="00C8447D"/>
    <w:sectPr w:rsidR="00C8447D" w:rsidRPr="009B7615" w:rsidSect="00C8447D">
      <w:footerReference w:type="default" r:id="rId11"/>
      <w:pgSz w:w="11906" w:h="16838" w:code="9"/>
      <w:pgMar w:top="113" w:right="1440" w:bottom="113"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2F2" w:rsidRDefault="008052F2" w:rsidP="00B3756C">
      <w:r>
        <w:separator/>
      </w:r>
    </w:p>
  </w:endnote>
  <w:endnote w:type="continuationSeparator" w:id="0">
    <w:p w:rsidR="008052F2" w:rsidRDefault="008052F2" w:rsidP="00B3756C">
      <w:r>
        <w:continuationSeparator/>
      </w:r>
    </w:p>
  </w:endnote>
  <w:endnote w:id="1">
    <w:p w:rsidR="00B3756C" w:rsidRPr="00644D55" w:rsidRDefault="00B3756C">
      <w:pPr>
        <w:pStyle w:val="EndnoteText"/>
        <w:rPr>
          <w:color w:val="5B9BD5" w:themeColor="accent1"/>
        </w:rPr>
      </w:pPr>
      <w:r>
        <w:rPr>
          <w:rStyle w:val="EndnoteReference"/>
        </w:rPr>
        <w:endnoteRef/>
      </w:r>
      <w:r>
        <w:t xml:space="preserve"> </w:t>
      </w:r>
      <w:hyperlink r:id="rId1" w:history="1">
        <w:r w:rsidRPr="00644D55">
          <w:rPr>
            <w:rStyle w:val="Hyperlink"/>
            <w:rFonts w:cs="Arial"/>
            <w:color w:val="5B9BD5" w:themeColor="accent1"/>
            <w:spacing w:val="-7"/>
            <w:sz w:val="18"/>
            <w:szCs w:val="18"/>
          </w:rPr>
          <w:t>Effect of vaccination on transmission of COVID-19: an observational study in healthcare workers and their households</w:t>
        </w:r>
        <w:r w:rsidRPr="00644D55">
          <w:rPr>
            <w:rStyle w:val="Hyperlink"/>
            <w:rFonts w:cs="Arial"/>
            <w:b/>
            <w:color w:val="5B9BD5" w:themeColor="accent1"/>
            <w:spacing w:val="-7"/>
            <w:sz w:val="18"/>
            <w:szCs w:val="18"/>
          </w:rPr>
          <w:t xml:space="preserve"> (preprint)</w:t>
        </w:r>
      </w:hyperlink>
    </w:p>
    <w:p w:rsidR="00B3756C" w:rsidRPr="00644D55" w:rsidRDefault="00B3756C">
      <w:pPr>
        <w:pStyle w:val="EndnoteText"/>
        <w:rPr>
          <w:color w:val="5B9BD5" w:themeColor="accent1"/>
        </w:rPr>
      </w:pPr>
    </w:p>
  </w:endnote>
  <w:endnote w:id="2">
    <w:p w:rsidR="00B3756C" w:rsidRPr="00644D55" w:rsidRDefault="00B3756C" w:rsidP="00B3756C">
      <w:pPr>
        <w:pStyle w:val="FootnoteText"/>
        <w:rPr>
          <w:rFonts w:cs="Arial"/>
          <w:color w:val="5B9BD5" w:themeColor="accent1"/>
          <w:sz w:val="18"/>
          <w:szCs w:val="18"/>
        </w:rPr>
      </w:pPr>
      <w:r w:rsidRPr="00644D55">
        <w:rPr>
          <w:rStyle w:val="EndnoteReference"/>
          <w:color w:val="5B9BD5" w:themeColor="accent1"/>
        </w:rPr>
        <w:endnoteRef/>
      </w:r>
      <w:r w:rsidRPr="00644D55">
        <w:rPr>
          <w:color w:val="5B9BD5" w:themeColor="accent1"/>
        </w:rPr>
        <w:t xml:space="preserve"> </w:t>
      </w:r>
      <w:hyperlink r:id="rId2" w:history="1">
        <w:r w:rsidRPr="00644D55">
          <w:rPr>
            <w:rStyle w:val="Hyperlink"/>
            <w:rFonts w:cs="Arial"/>
            <w:color w:val="5B9BD5" w:themeColor="accent1"/>
            <w:sz w:val="18"/>
            <w:szCs w:val="18"/>
          </w:rPr>
          <w:t>Effectiveness of COVID-19 vaccines against the B.1.617.2 variant | medRxiv</w:t>
        </w:r>
      </w:hyperlink>
    </w:p>
    <w:p w:rsidR="00B3756C" w:rsidRPr="00644D55" w:rsidRDefault="00B3756C">
      <w:pPr>
        <w:pStyle w:val="EndnoteText"/>
        <w:rPr>
          <w:color w:val="5B9BD5" w:themeColor="accent1"/>
        </w:rPr>
      </w:pPr>
    </w:p>
  </w:endnote>
  <w:endnote w:id="3">
    <w:p w:rsidR="00B3756C" w:rsidRPr="00644D55" w:rsidRDefault="00B3756C">
      <w:pPr>
        <w:pStyle w:val="EndnoteText"/>
        <w:rPr>
          <w:color w:val="5B9BD5" w:themeColor="accent1"/>
        </w:rPr>
      </w:pPr>
      <w:r w:rsidRPr="00644D55">
        <w:rPr>
          <w:rStyle w:val="EndnoteReference"/>
          <w:color w:val="5B9BD5" w:themeColor="accent1"/>
        </w:rPr>
        <w:endnoteRef/>
      </w:r>
      <w:r w:rsidRPr="00644D55">
        <w:rPr>
          <w:color w:val="5B9BD5" w:themeColor="accent1"/>
        </w:rPr>
        <w:t xml:space="preserve"> </w:t>
      </w:r>
      <w:hyperlink r:id="rId3" w:history="1">
        <w:r w:rsidRPr="00644D55">
          <w:rPr>
            <w:rStyle w:val="Hyperlink"/>
            <w:rFonts w:cs="Arial"/>
            <w:color w:val="5B9BD5" w:themeColor="accent1"/>
            <w:sz w:val="18"/>
            <w:szCs w:val="18"/>
          </w:rPr>
          <w:t>Effectiveness of COVID-19 vaccines against hospital admission with the Delta variant - Public library - PHE national - Knowledge Hub (khub.net)</w:t>
        </w:r>
      </w:hyperlink>
    </w:p>
    <w:p w:rsidR="00B3756C" w:rsidRPr="00644D55" w:rsidRDefault="00B3756C">
      <w:pPr>
        <w:pStyle w:val="EndnoteText"/>
        <w:rPr>
          <w:color w:val="5B9BD5" w:themeColor="accent1"/>
        </w:rPr>
      </w:pPr>
    </w:p>
    <w:p w:rsidR="00B3756C" w:rsidRPr="00644D55" w:rsidRDefault="00B3756C">
      <w:pPr>
        <w:pStyle w:val="EndnoteText"/>
        <w:rPr>
          <w:color w:val="5B9BD5" w:themeColor="accent1"/>
        </w:rPr>
      </w:pPr>
    </w:p>
  </w:endnote>
  <w:endnote w:id="4">
    <w:p w:rsidR="00B3756C" w:rsidRDefault="00B3756C">
      <w:pPr>
        <w:pStyle w:val="EndnoteText"/>
      </w:pPr>
      <w:r w:rsidRPr="00644D55">
        <w:rPr>
          <w:rStyle w:val="EndnoteReference"/>
          <w:color w:val="5B9BD5" w:themeColor="accent1"/>
        </w:rPr>
        <w:endnoteRef/>
      </w:r>
      <w:r w:rsidRPr="00644D55">
        <w:rPr>
          <w:color w:val="5B9BD5" w:themeColor="accent1"/>
        </w:rPr>
        <w:t xml:space="preserve"> </w:t>
      </w:r>
      <w:hyperlink r:id="rId4" w:history="1">
        <w:r w:rsidRPr="00644D55">
          <w:rPr>
            <w:rStyle w:val="Hyperlink"/>
            <w:rFonts w:cs="Arial"/>
            <w:color w:val="5B9BD5" w:themeColor="accent1"/>
            <w:sz w:val="18"/>
            <w:szCs w:val="18"/>
          </w:rPr>
          <w:t>Liverpool Covid-SMART Community Testing Pilot Evaluation Report, 17 June 2021</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707893"/>
      <w:docPartObj>
        <w:docPartGallery w:val="Page Numbers (Bottom of Page)"/>
        <w:docPartUnique/>
      </w:docPartObj>
    </w:sdtPr>
    <w:sdtEndPr>
      <w:rPr>
        <w:noProof/>
      </w:rPr>
    </w:sdtEndPr>
    <w:sdtContent>
      <w:p w:rsidR="00B3756C" w:rsidRDefault="00B3756C">
        <w:pPr>
          <w:pStyle w:val="Footer"/>
          <w:jc w:val="right"/>
        </w:pPr>
        <w:r>
          <w:fldChar w:fldCharType="begin"/>
        </w:r>
        <w:r>
          <w:instrText xml:space="preserve"> PAGE   \* MERGEFORMAT </w:instrText>
        </w:r>
        <w:r>
          <w:fldChar w:fldCharType="separate"/>
        </w:r>
        <w:r w:rsidR="00796BC6">
          <w:rPr>
            <w:noProof/>
          </w:rPr>
          <w:t>2</w:t>
        </w:r>
        <w:r>
          <w:rPr>
            <w:noProof/>
          </w:rPr>
          <w:fldChar w:fldCharType="end"/>
        </w:r>
      </w:p>
    </w:sdtContent>
  </w:sdt>
  <w:p w:rsidR="00B3756C" w:rsidRDefault="00B37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2F2" w:rsidRDefault="008052F2" w:rsidP="00B3756C">
      <w:r>
        <w:separator/>
      </w:r>
    </w:p>
  </w:footnote>
  <w:footnote w:type="continuationSeparator" w:id="0">
    <w:p w:rsidR="008052F2" w:rsidRDefault="008052F2" w:rsidP="00B3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3F2B0D97"/>
    <w:multiLevelType w:val="hybridMultilevel"/>
    <w:tmpl w:val="039A9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6DD3DCF"/>
    <w:multiLevelType w:val="hybridMultilevel"/>
    <w:tmpl w:val="03F89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35C4640"/>
    <w:multiLevelType w:val="hybridMultilevel"/>
    <w:tmpl w:val="9C5CE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5" w15:restartNumberingAfterBreak="0">
    <w:nsid w:val="6AA0520E"/>
    <w:multiLevelType w:val="hybridMultilevel"/>
    <w:tmpl w:val="400425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0"/>
  </w:num>
  <w:num w:numId="4">
    <w:abstractNumId w:val="0"/>
  </w:num>
  <w:num w:numId="5">
    <w:abstractNumId w:val="4"/>
  </w:num>
  <w:num w:numId="6">
    <w:abstractNumId w:val="0"/>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CD"/>
    <w:rsid w:val="00027405"/>
    <w:rsid w:val="00027C27"/>
    <w:rsid w:val="000C0CF4"/>
    <w:rsid w:val="00251DA4"/>
    <w:rsid w:val="00281579"/>
    <w:rsid w:val="00306C61"/>
    <w:rsid w:val="0037582B"/>
    <w:rsid w:val="00644D55"/>
    <w:rsid w:val="00796BC6"/>
    <w:rsid w:val="008052F2"/>
    <w:rsid w:val="00857548"/>
    <w:rsid w:val="009A1ECD"/>
    <w:rsid w:val="009B7615"/>
    <w:rsid w:val="00A65EE7"/>
    <w:rsid w:val="00B176FA"/>
    <w:rsid w:val="00B3756C"/>
    <w:rsid w:val="00B51BDC"/>
    <w:rsid w:val="00B561C0"/>
    <w:rsid w:val="00B773CE"/>
    <w:rsid w:val="00C8447D"/>
    <w:rsid w:val="00C91823"/>
    <w:rsid w:val="00D008AB"/>
    <w:rsid w:val="00E90E8D"/>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738E3-D124-4EE4-851C-8F3CA190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CD"/>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basedOn w:val="Normal"/>
    <w:uiPriority w:val="34"/>
    <w:qFormat/>
    <w:rsid w:val="009A1ECD"/>
    <w:pPr>
      <w:ind w:left="720"/>
    </w:pPr>
    <w:rPr>
      <w:rFonts w:ascii="Calibri" w:eastAsiaTheme="minorHAnsi" w:hAnsi="Calibri" w:cs="Calibri"/>
      <w:sz w:val="22"/>
      <w:szCs w:val="22"/>
    </w:rPr>
  </w:style>
  <w:style w:type="table" w:styleId="TableGrid">
    <w:name w:val="Table Grid"/>
    <w:basedOn w:val="TableNormal"/>
    <w:uiPriority w:val="39"/>
    <w:rsid w:val="009A1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ECD"/>
    <w:rPr>
      <w:color w:val="0563C1" w:themeColor="hyperlink"/>
      <w:u w:val="single"/>
    </w:rPr>
  </w:style>
  <w:style w:type="character" w:styleId="CommentReference">
    <w:name w:val="annotation reference"/>
    <w:basedOn w:val="DefaultParagraphFont"/>
    <w:uiPriority w:val="99"/>
    <w:semiHidden/>
    <w:unhideWhenUsed/>
    <w:rsid w:val="00C8447D"/>
    <w:rPr>
      <w:sz w:val="16"/>
      <w:szCs w:val="16"/>
    </w:rPr>
  </w:style>
  <w:style w:type="paragraph" w:styleId="FootnoteText">
    <w:name w:val="footnote text"/>
    <w:basedOn w:val="Normal"/>
    <w:link w:val="FootnoteTextChar"/>
    <w:uiPriority w:val="99"/>
    <w:semiHidden/>
    <w:unhideWhenUsed/>
    <w:rsid w:val="00B3756C"/>
    <w:rPr>
      <w:sz w:val="20"/>
    </w:rPr>
  </w:style>
  <w:style w:type="character" w:customStyle="1" w:styleId="FootnoteTextChar">
    <w:name w:val="Footnote Text Char"/>
    <w:basedOn w:val="DefaultParagraphFont"/>
    <w:link w:val="FootnoteText"/>
    <w:uiPriority w:val="99"/>
    <w:semiHidden/>
    <w:rsid w:val="00B3756C"/>
    <w:rPr>
      <w:rFonts w:ascii="Arial" w:hAnsi="Arial" w:cs="Times New Roman"/>
      <w:sz w:val="20"/>
      <w:szCs w:val="20"/>
    </w:rPr>
  </w:style>
  <w:style w:type="character" w:styleId="FootnoteReference">
    <w:name w:val="footnote reference"/>
    <w:basedOn w:val="DefaultParagraphFont"/>
    <w:uiPriority w:val="99"/>
    <w:semiHidden/>
    <w:unhideWhenUsed/>
    <w:rsid w:val="00B3756C"/>
    <w:rPr>
      <w:vertAlign w:val="superscript"/>
    </w:rPr>
  </w:style>
  <w:style w:type="paragraph" w:styleId="EndnoteText">
    <w:name w:val="endnote text"/>
    <w:basedOn w:val="Normal"/>
    <w:link w:val="EndnoteTextChar"/>
    <w:uiPriority w:val="99"/>
    <w:semiHidden/>
    <w:unhideWhenUsed/>
    <w:rsid w:val="00B3756C"/>
    <w:rPr>
      <w:sz w:val="20"/>
    </w:rPr>
  </w:style>
  <w:style w:type="character" w:customStyle="1" w:styleId="EndnoteTextChar">
    <w:name w:val="Endnote Text Char"/>
    <w:basedOn w:val="DefaultParagraphFont"/>
    <w:link w:val="EndnoteText"/>
    <w:uiPriority w:val="99"/>
    <w:semiHidden/>
    <w:rsid w:val="00B3756C"/>
    <w:rPr>
      <w:rFonts w:ascii="Arial" w:hAnsi="Arial" w:cs="Times New Roman"/>
      <w:sz w:val="20"/>
      <w:szCs w:val="20"/>
    </w:rPr>
  </w:style>
  <w:style w:type="character" w:styleId="EndnoteReference">
    <w:name w:val="endnote reference"/>
    <w:basedOn w:val="DefaultParagraphFont"/>
    <w:uiPriority w:val="99"/>
    <w:semiHidden/>
    <w:unhideWhenUsed/>
    <w:rsid w:val="00B375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88656">
      <w:bodyDiv w:val="1"/>
      <w:marLeft w:val="0"/>
      <w:marRight w:val="0"/>
      <w:marTop w:val="0"/>
      <w:marBottom w:val="0"/>
      <w:divBdr>
        <w:top w:val="none" w:sz="0" w:space="0" w:color="auto"/>
        <w:left w:val="none" w:sz="0" w:space="0" w:color="auto"/>
        <w:bottom w:val="none" w:sz="0" w:space="0" w:color="auto"/>
        <w:right w:val="none" w:sz="0" w:space="0" w:color="auto"/>
      </w:divBdr>
    </w:div>
    <w:div w:id="411203151">
      <w:bodyDiv w:val="1"/>
      <w:marLeft w:val="0"/>
      <w:marRight w:val="0"/>
      <w:marTop w:val="0"/>
      <w:marBottom w:val="0"/>
      <w:divBdr>
        <w:top w:val="none" w:sz="0" w:space="0" w:color="auto"/>
        <w:left w:val="none" w:sz="0" w:space="0" w:color="auto"/>
        <w:bottom w:val="none" w:sz="0" w:space="0" w:color="auto"/>
        <w:right w:val="none" w:sz="0" w:space="0" w:color="auto"/>
      </w:divBdr>
    </w:div>
    <w:div w:id="1453480284">
      <w:bodyDiv w:val="1"/>
      <w:marLeft w:val="0"/>
      <w:marRight w:val="0"/>
      <w:marTop w:val="0"/>
      <w:marBottom w:val="0"/>
      <w:divBdr>
        <w:top w:val="none" w:sz="0" w:space="0" w:color="auto"/>
        <w:left w:val="none" w:sz="0" w:space="0" w:color="auto"/>
        <w:bottom w:val="none" w:sz="0" w:space="0" w:color="auto"/>
        <w:right w:val="none" w:sz="0" w:space="0" w:color="auto"/>
      </w:divBdr>
    </w:div>
    <w:div w:id="158750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testingportal.sc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et-coronavirus-test" TargetMode="External"/><Relationship Id="rId4" Type="http://schemas.openxmlformats.org/officeDocument/2006/relationships/settings" Target="settings.xml"/><Relationship Id="rId9" Type="http://schemas.openxmlformats.org/officeDocument/2006/relationships/hyperlink" Target="http://www.covidtestingportal.scot/"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khub.net/web/phe-national/public-library/-/document_library/v2WsRK3ZlEig/view/479607266" TargetMode="External"/><Relationship Id="rId2" Type="http://schemas.openxmlformats.org/officeDocument/2006/relationships/hyperlink" Target="https://www.medrxiv.org/content/10.1101/2021.05.22.21257658v1" TargetMode="External"/><Relationship Id="rId1" Type="http://schemas.openxmlformats.org/officeDocument/2006/relationships/hyperlink" Target="https://www.medrxiv.org/content/10.1101/2021.03.11.21253275v1" TargetMode="External"/><Relationship Id="rId4" Type="http://schemas.openxmlformats.org/officeDocument/2006/relationships/hyperlink" Target="https://www.liverpool.ac.uk/media/livacuk/research/Mass,testing,evalu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C8E06FE-B5B1-4F01-A211-F442E357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McGregor C (Christine)</dc:creator>
  <cp:keywords/>
  <dc:description/>
  <cp:lastModifiedBy>McGregor C (Christine)</cp:lastModifiedBy>
  <cp:revision>1</cp:revision>
  <dcterms:created xsi:type="dcterms:W3CDTF">2021-07-23T14:03:00Z</dcterms:created>
  <dcterms:modified xsi:type="dcterms:W3CDTF">2021-07-23T14:03:00Z</dcterms:modified>
</cp:coreProperties>
</file>