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3" w:type="pct"/>
        <w:tblLayout w:type="fixed"/>
        <w:tblLook w:val="01E0" w:firstRow="1" w:lastRow="1" w:firstColumn="1" w:lastColumn="1" w:noHBand="0" w:noVBand="0"/>
      </w:tblPr>
      <w:tblGrid>
        <w:gridCol w:w="5552"/>
        <w:gridCol w:w="4377"/>
      </w:tblGrid>
      <w:tr w:rsidR="005C0B4B" w:rsidRPr="00596CD4" w:rsidTr="007B75F5">
        <w:trPr>
          <w:trHeight w:hRule="exact" w:val="1978"/>
        </w:trPr>
        <w:tc>
          <w:tcPr>
            <w:tcW w:w="2796" w:type="pct"/>
            <w:shd w:val="clear" w:color="auto" w:fill="auto"/>
          </w:tcPr>
          <w:p w:rsidR="00FB5754" w:rsidRPr="0006779D" w:rsidRDefault="00831CD0" w:rsidP="00596CD4">
            <w:pPr>
              <w:tabs>
                <w:tab w:val="clear" w:pos="720"/>
                <w:tab w:val="clear" w:pos="1440"/>
                <w:tab w:val="clear" w:pos="2160"/>
                <w:tab w:val="clear" w:pos="2880"/>
                <w:tab w:val="left" w:pos="990"/>
                <w:tab w:val="left" w:pos="4680"/>
                <w:tab w:val="left" w:pos="5400"/>
                <w:tab w:val="right" w:pos="9000"/>
              </w:tabs>
              <w:spacing w:line="260" w:lineRule="exact"/>
              <w:rPr>
                <w:rFonts w:cs="Arial"/>
                <w:b/>
                <w:color w:val="336699"/>
                <w:spacing w:val="-2"/>
                <w:sz w:val="22"/>
                <w:szCs w:val="22"/>
              </w:rPr>
            </w:pPr>
            <w:bookmarkStart w:id="0" w:name="_GoBack"/>
            <w:bookmarkEnd w:id="0"/>
            <w:r w:rsidRPr="0006779D">
              <w:rPr>
                <w:rFonts w:cs="Arial"/>
                <w:b/>
                <w:color w:val="336699"/>
                <w:spacing w:val="-2"/>
                <w:sz w:val="22"/>
                <w:szCs w:val="22"/>
              </w:rPr>
              <w:t>Chief Medical Officer</w:t>
            </w:r>
            <w:r w:rsidR="002E1FCA" w:rsidRPr="0006779D">
              <w:rPr>
                <w:rFonts w:cs="Arial"/>
                <w:b/>
                <w:color w:val="336699"/>
                <w:spacing w:val="-2"/>
                <w:sz w:val="22"/>
                <w:szCs w:val="22"/>
              </w:rPr>
              <w:t xml:space="preserve"> </w:t>
            </w:r>
            <w:r w:rsidR="004229A6" w:rsidRPr="0006779D">
              <w:rPr>
                <w:rFonts w:cs="Arial"/>
                <w:b/>
                <w:color w:val="336699"/>
                <w:spacing w:val="-2"/>
                <w:sz w:val="22"/>
                <w:szCs w:val="22"/>
              </w:rPr>
              <w:t>Directorate</w:t>
            </w:r>
          </w:p>
          <w:p w:rsidR="00AB7143" w:rsidRPr="0006779D" w:rsidRDefault="00AB7143" w:rsidP="00AB7143">
            <w:pPr>
              <w:tabs>
                <w:tab w:val="clear" w:pos="720"/>
                <w:tab w:val="clear" w:pos="1440"/>
                <w:tab w:val="clear" w:pos="2160"/>
                <w:tab w:val="clear" w:pos="2880"/>
                <w:tab w:val="left" w:pos="990"/>
                <w:tab w:val="left" w:pos="4680"/>
                <w:tab w:val="left" w:pos="5400"/>
                <w:tab w:val="right" w:pos="9000"/>
              </w:tabs>
              <w:spacing w:line="260" w:lineRule="exact"/>
              <w:rPr>
                <w:rFonts w:cs="Arial"/>
                <w:b/>
                <w:color w:val="336699"/>
                <w:spacing w:val="-2"/>
                <w:sz w:val="22"/>
                <w:szCs w:val="22"/>
              </w:rPr>
            </w:pPr>
            <w:r>
              <w:rPr>
                <w:rFonts w:cs="Arial"/>
                <w:b/>
                <w:color w:val="336699"/>
                <w:spacing w:val="-2"/>
                <w:sz w:val="22"/>
                <w:szCs w:val="22"/>
              </w:rPr>
              <w:t>Primary Care</w:t>
            </w:r>
            <w:r w:rsidRPr="0006779D">
              <w:rPr>
                <w:rFonts w:cs="Arial"/>
                <w:b/>
                <w:color w:val="336699"/>
                <w:spacing w:val="-2"/>
                <w:sz w:val="22"/>
                <w:szCs w:val="22"/>
              </w:rPr>
              <w:t xml:space="preserve"> Directorate</w:t>
            </w:r>
          </w:p>
          <w:p w:rsidR="00B75812" w:rsidRDefault="00B75812" w:rsidP="00B75812">
            <w:pPr>
              <w:tabs>
                <w:tab w:val="clear" w:pos="720"/>
                <w:tab w:val="clear" w:pos="1440"/>
                <w:tab w:val="clear" w:pos="2160"/>
                <w:tab w:val="clear" w:pos="2880"/>
                <w:tab w:val="clear" w:pos="9907"/>
                <w:tab w:val="right" w:pos="5421"/>
              </w:tabs>
              <w:rPr>
                <w:rFonts w:cs="Arial"/>
                <w:spacing w:val="-2"/>
                <w:sz w:val="22"/>
                <w:szCs w:val="22"/>
                <w:lang w:val="de-DE"/>
              </w:rPr>
            </w:pPr>
          </w:p>
          <w:p w:rsidR="00472F5C" w:rsidRPr="0006779D" w:rsidRDefault="006C45EE" w:rsidP="00B75812">
            <w:pPr>
              <w:tabs>
                <w:tab w:val="clear" w:pos="720"/>
                <w:tab w:val="clear" w:pos="1440"/>
                <w:tab w:val="clear" w:pos="2160"/>
                <w:tab w:val="clear" w:pos="2880"/>
                <w:tab w:val="clear" w:pos="9907"/>
                <w:tab w:val="right" w:pos="5421"/>
              </w:tabs>
              <w:rPr>
                <w:rFonts w:cs="Arial"/>
                <w:spacing w:val="-2"/>
                <w:sz w:val="22"/>
                <w:szCs w:val="22"/>
                <w:lang w:val="de-DE"/>
              </w:rPr>
            </w:pPr>
            <w:r>
              <w:rPr>
                <w:rFonts w:cs="Arial"/>
                <w:spacing w:val="-2"/>
                <w:sz w:val="22"/>
                <w:szCs w:val="22"/>
                <w:lang w:val="de-DE"/>
              </w:rPr>
              <w:t>E</w:t>
            </w:r>
            <w:r w:rsidR="00472F5C" w:rsidRPr="0006779D">
              <w:rPr>
                <w:rFonts w:cs="Arial"/>
                <w:spacing w:val="-2"/>
                <w:sz w:val="22"/>
                <w:szCs w:val="22"/>
                <w:lang w:val="de-DE"/>
              </w:rPr>
              <w:t xml:space="preserve">: </w:t>
            </w:r>
            <w:hyperlink r:id="rId7" w:history="1">
              <w:r w:rsidR="00B75812" w:rsidRPr="00814C7B">
                <w:rPr>
                  <w:rStyle w:val="Hyperlink"/>
                  <w:rFonts w:cs="Arial"/>
                  <w:spacing w:val="-2"/>
                  <w:sz w:val="22"/>
                  <w:szCs w:val="22"/>
                  <w:lang w:val="de-DE"/>
                </w:rPr>
                <w:t>ceu@gov.scot</w:t>
              </w:r>
            </w:hyperlink>
            <w:r w:rsidR="00B75812">
              <w:rPr>
                <w:rFonts w:cs="Arial"/>
                <w:spacing w:val="-2"/>
                <w:sz w:val="22"/>
                <w:szCs w:val="22"/>
                <w:lang w:val="de-DE"/>
              </w:rPr>
              <w:t xml:space="preserve"> </w:t>
            </w:r>
            <w:r w:rsidR="00B75812">
              <w:rPr>
                <w:rFonts w:cs="Arial"/>
                <w:spacing w:val="-2"/>
                <w:sz w:val="22"/>
                <w:szCs w:val="22"/>
                <w:lang w:val="de-DE"/>
              </w:rPr>
              <w:tab/>
            </w:r>
          </w:p>
          <w:p w:rsidR="004351F3" w:rsidRPr="0006779D" w:rsidRDefault="00B75812" w:rsidP="0006779D">
            <w:pPr>
              <w:tabs>
                <w:tab w:val="clear" w:pos="720"/>
                <w:tab w:val="clear" w:pos="1440"/>
                <w:tab w:val="clear" w:pos="2160"/>
                <w:tab w:val="clear" w:pos="2880"/>
              </w:tabs>
              <w:rPr>
                <w:rFonts w:cs="Arial"/>
                <w:spacing w:val="-2"/>
                <w:sz w:val="22"/>
                <w:szCs w:val="22"/>
              </w:rPr>
            </w:pPr>
            <w:r>
              <w:rPr>
                <w:rFonts w:cs="Arial"/>
                <w:spacing w:val="-2"/>
                <w:sz w:val="22"/>
                <w:szCs w:val="22"/>
              </w:rPr>
              <w:t>T:</w:t>
            </w:r>
            <w:r>
              <w:t xml:space="preserve"> </w:t>
            </w:r>
            <w:r w:rsidRPr="00B75812">
              <w:rPr>
                <w:rFonts w:cs="Arial"/>
                <w:spacing w:val="-2"/>
                <w:sz w:val="22"/>
                <w:szCs w:val="22"/>
              </w:rPr>
              <w:t>0300 244 4000</w:t>
            </w:r>
            <w:r>
              <w:rPr>
                <w:rFonts w:cs="Arial"/>
                <w:spacing w:val="-2"/>
                <w:sz w:val="22"/>
                <w:szCs w:val="22"/>
              </w:rPr>
              <w:t xml:space="preserve"> </w:t>
            </w:r>
            <w:r w:rsidR="0020014E" w:rsidRPr="0006779D">
              <w:rPr>
                <w:rFonts w:cs="Arial"/>
                <w:spacing w:val="-2"/>
                <w:sz w:val="22"/>
                <w:szCs w:val="22"/>
              </w:rPr>
              <w:t xml:space="preserve"> </w:t>
            </w:r>
          </w:p>
          <w:p w:rsidR="004E326B" w:rsidRPr="0006779D" w:rsidRDefault="004E326B" w:rsidP="00596CD4">
            <w:pPr>
              <w:tabs>
                <w:tab w:val="clear" w:pos="720"/>
                <w:tab w:val="clear" w:pos="1440"/>
                <w:tab w:val="clear" w:pos="2160"/>
                <w:tab w:val="clear" w:pos="2880"/>
              </w:tabs>
              <w:spacing w:line="240" w:lineRule="exact"/>
              <w:rPr>
                <w:rFonts w:cs="Arial"/>
                <w:spacing w:val="-2"/>
                <w:sz w:val="22"/>
                <w:szCs w:val="22"/>
              </w:rPr>
            </w:pPr>
          </w:p>
          <w:p w:rsidR="001C63CF" w:rsidRPr="0006779D" w:rsidRDefault="001C63CF" w:rsidP="00596CD4">
            <w:pPr>
              <w:tabs>
                <w:tab w:val="clear" w:pos="720"/>
                <w:tab w:val="clear" w:pos="1440"/>
                <w:tab w:val="clear" w:pos="2160"/>
                <w:tab w:val="clear" w:pos="2880"/>
              </w:tabs>
              <w:spacing w:line="240" w:lineRule="exact"/>
              <w:rPr>
                <w:rFonts w:cs="Arial"/>
                <w:spacing w:val="-2"/>
                <w:sz w:val="22"/>
                <w:szCs w:val="22"/>
              </w:rPr>
            </w:pPr>
          </w:p>
        </w:tc>
        <w:tc>
          <w:tcPr>
            <w:tcW w:w="2204" w:type="pct"/>
            <w:shd w:val="clear" w:color="auto" w:fill="auto"/>
          </w:tcPr>
          <w:p w:rsidR="00B54307" w:rsidRPr="00596CD4" w:rsidRDefault="00944102" w:rsidP="00596CD4">
            <w:pPr>
              <w:tabs>
                <w:tab w:val="clear" w:pos="720"/>
                <w:tab w:val="clear" w:pos="1440"/>
                <w:tab w:val="clear" w:pos="2160"/>
                <w:tab w:val="clear" w:pos="2880"/>
              </w:tabs>
              <w:jc w:val="right"/>
              <w:rPr>
                <w:rFonts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r w:rsidR="004836D6" w:rsidRPr="00596CD4" w:rsidTr="00C40CB8">
        <w:trPr>
          <w:trHeight w:hRule="exact" w:val="2272"/>
        </w:trPr>
        <w:tc>
          <w:tcPr>
            <w:tcW w:w="2796" w:type="pct"/>
            <w:shd w:val="clear" w:color="auto" w:fill="auto"/>
          </w:tcPr>
          <w:p w:rsidR="00472F5C" w:rsidRPr="0006779D" w:rsidRDefault="00472F5C" w:rsidP="00596CD4">
            <w:pPr>
              <w:tabs>
                <w:tab w:val="clear" w:pos="720"/>
                <w:tab w:val="clear" w:pos="1440"/>
                <w:tab w:val="clear" w:pos="2160"/>
                <w:tab w:val="clear" w:pos="2880"/>
                <w:tab w:val="left" w:pos="4680"/>
                <w:tab w:val="left" w:pos="5400"/>
                <w:tab w:val="right" w:pos="9000"/>
              </w:tabs>
              <w:spacing w:line="260" w:lineRule="exact"/>
              <w:rPr>
                <w:rFonts w:cs="Arial"/>
                <w:spacing w:val="-4"/>
                <w:sz w:val="22"/>
                <w:szCs w:val="22"/>
              </w:rPr>
            </w:pPr>
            <w:bookmarkStart w:id="1" w:name="Name"/>
          </w:p>
          <w:bookmarkEnd w:id="1"/>
          <w:p w:rsidR="006C45EE" w:rsidRDefault="006C45EE" w:rsidP="00B11240">
            <w:pPr>
              <w:tabs>
                <w:tab w:val="clear" w:pos="720"/>
                <w:tab w:val="clear" w:pos="1440"/>
                <w:tab w:val="clear" w:pos="2160"/>
                <w:tab w:val="clear" w:pos="2880"/>
                <w:tab w:val="left" w:pos="4680"/>
                <w:tab w:val="left" w:pos="5400"/>
                <w:tab w:val="right" w:pos="9000"/>
              </w:tabs>
              <w:spacing w:line="260" w:lineRule="exact"/>
              <w:rPr>
                <w:rFonts w:cs="Arial"/>
                <w:spacing w:val="-4"/>
              </w:rPr>
            </w:pPr>
          </w:p>
          <w:p w:rsidR="00B11240" w:rsidRPr="00E8157D" w:rsidRDefault="00B86064" w:rsidP="00B11240">
            <w:pPr>
              <w:tabs>
                <w:tab w:val="clear" w:pos="720"/>
                <w:tab w:val="clear" w:pos="1440"/>
                <w:tab w:val="clear" w:pos="2160"/>
                <w:tab w:val="clear" w:pos="2880"/>
                <w:tab w:val="left" w:pos="4680"/>
                <w:tab w:val="left" w:pos="5400"/>
                <w:tab w:val="right" w:pos="9000"/>
              </w:tabs>
              <w:spacing w:line="260" w:lineRule="exact"/>
              <w:rPr>
                <w:rFonts w:cs="Arial"/>
                <w:spacing w:val="-4"/>
              </w:rPr>
            </w:pPr>
            <w:r>
              <w:rPr>
                <w:rFonts w:cs="Arial"/>
                <w:spacing w:val="-4"/>
              </w:rPr>
              <w:t>To: GP Practices</w:t>
            </w:r>
          </w:p>
          <w:p w:rsidR="004836D6" w:rsidRPr="0006779D" w:rsidRDefault="004836D6" w:rsidP="004A55C8">
            <w:pPr>
              <w:tabs>
                <w:tab w:val="clear" w:pos="720"/>
                <w:tab w:val="clear" w:pos="1440"/>
                <w:tab w:val="clear" w:pos="2160"/>
                <w:tab w:val="clear" w:pos="2880"/>
                <w:tab w:val="left" w:pos="4680"/>
                <w:tab w:val="left" w:pos="5400"/>
                <w:tab w:val="right" w:pos="9000"/>
              </w:tabs>
              <w:rPr>
                <w:rFonts w:cs="Arial"/>
                <w:b/>
                <w:spacing w:val="-2"/>
                <w:sz w:val="22"/>
                <w:szCs w:val="22"/>
              </w:rPr>
            </w:pPr>
          </w:p>
        </w:tc>
        <w:tc>
          <w:tcPr>
            <w:tcW w:w="2204" w:type="pct"/>
            <w:shd w:val="clear" w:color="auto" w:fill="auto"/>
          </w:tcPr>
          <w:p w:rsidR="004836D6" w:rsidRPr="006C7AA2" w:rsidRDefault="004836D6" w:rsidP="00A8392E">
            <w:pPr>
              <w:tabs>
                <w:tab w:val="left" w:pos="5400"/>
                <w:tab w:val="right" w:pos="10170"/>
              </w:tabs>
              <w:jc w:val="right"/>
              <w:rPr>
                <w:rFonts w:ascii="Clan-News" w:hAnsi="Clan-News"/>
                <w:noProof/>
                <w:color w:val="1F497D"/>
                <w:sz w:val="20"/>
                <w:szCs w:val="20"/>
              </w:rPr>
            </w:pPr>
          </w:p>
        </w:tc>
      </w:tr>
    </w:tbl>
    <w:p w:rsidR="00B736AD" w:rsidRPr="00447CEB" w:rsidRDefault="00B736AD" w:rsidP="004E326B">
      <w:pPr>
        <w:tabs>
          <w:tab w:val="clear" w:pos="720"/>
          <w:tab w:val="clear" w:pos="1440"/>
          <w:tab w:val="clear" w:pos="2160"/>
          <w:tab w:val="clear" w:pos="2880"/>
        </w:tabs>
        <w:ind w:left="-1080" w:right="-877"/>
        <w:rPr>
          <w:rFonts w:cs="Arial"/>
        </w:rPr>
      </w:pPr>
      <w:r w:rsidRPr="00447CEB">
        <w:rPr>
          <w:rFonts w:cs="Arial"/>
        </w:rPr>
        <w:t>___</w:t>
      </w:r>
    </w:p>
    <w:p w:rsidR="004829BF" w:rsidRDefault="00B11240" w:rsidP="004829BF">
      <w:pPr>
        <w:tabs>
          <w:tab w:val="clear" w:pos="720"/>
          <w:tab w:val="clear" w:pos="1440"/>
          <w:tab w:val="clear" w:pos="2160"/>
          <w:tab w:val="clear" w:pos="2880"/>
          <w:tab w:val="left" w:pos="1080"/>
        </w:tabs>
        <w:spacing w:line="240" w:lineRule="exact"/>
        <w:rPr>
          <w:rFonts w:cs="Arial"/>
        </w:rPr>
      </w:pPr>
      <w:r w:rsidRPr="00C43709">
        <w:rPr>
          <w:rFonts w:cs="Arial"/>
        </w:rPr>
        <w:tab/>
      </w:r>
    </w:p>
    <w:p w:rsidR="00B736AD" w:rsidRDefault="009A1417" w:rsidP="004829BF">
      <w:pPr>
        <w:tabs>
          <w:tab w:val="clear" w:pos="720"/>
          <w:tab w:val="clear" w:pos="1440"/>
          <w:tab w:val="clear" w:pos="2160"/>
          <w:tab w:val="clear" w:pos="2880"/>
          <w:tab w:val="left" w:pos="1080"/>
        </w:tabs>
        <w:spacing w:line="240" w:lineRule="exact"/>
        <w:rPr>
          <w:rFonts w:cs="Arial"/>
        </w:rPr>
      </w:pPr>
      <w:r>
        <w:rPr>
          <w:rFonts w:cs="Arial"/>
        </w:rPr>
        <w:t>9</w:t>
      </w:r>
      <w:r w:rsidR="00066ECA">
        <w:rPr>
          <w:rFonts w:cs="Arial"/>
        </w:rPr>
        <w:t xml:space="preserve"> </w:t>
      </w:r>
      <w:r w:rsidR="00B86064">
        <w:rPr>
          <w:rFonts w:cs="Arial"/>
        </w:rPr>
        <w:t>November</w:t>
      </w:r>
      <w:r w:rsidR="004A55C8">
        <w:rPr>
          <w:rFonts w:cs="Arial"/>
        </w:rPr>
        <w:t xml:space="preserve"> </w:t>
      </w:r>
      <w:r w:rsidR="00B11240">
        <w:rPr>
          <w:rFonts w:cs="Arial"/>
        </w:rPr>
        <w:t>2021</w:t>
      </w:r>
    </w:p>
    <w:p w:rsidR="004829BF" w:rsidRDefault="004829BF" w:rsidP="004829BF">
      <w:pPr>
        <w:tabs>
          <w:tab w:val="clear" w:pos="720"/>
          <w:tab w:val="clear" w:pos="1440"/>
          <w:tab w:val="clear" w:pos="2160"/>
          <w:tab w:val="clear" w:pos="2880"/>
          <w:tab w:val="left" w:pos="1080"/>
        </w:tabs>
        <w:spacing w:line="240" w:lineRule="exact"/>
        <w:rPr>
          <w:rFonts w:cs="Arial"/>
        </w:rPr>
      </w:pPr>
    </w:p>
    <w:p w:rsidR="00B86064" w:rsidRDefault="00B86064" w:rsidP="00B04534">
      <w:pPr>
        <w:rPr>
          <w:rFonts w:cs="Arial"/>
        </w:rPr>
      </w:pPr>
      <w:r>
        <w:rPr>
          <w:rFonts w:cs="Arial"/>
        </w:rPr>
        <w:t>Dear Colleagues,</w:t>
      </w:r>
    </w:p>
    <w:p w:rsidR="00B86064" w:rsidRDefault="00B86064" w:rsidP="00B04534">
      <w:pPr>
        <w:rPr>
          <w:rFonts w:cs="Arial"/>
        </w:rPr>
      </w:pPr>
    </w:p>
    <w:p w:rsidR="00B04534" w:rsidRDefault="00B86064" w:rsidP="00B04534">
      <w:pPr>
        <w:rPr>
          <w:rFonts w:cs="Arial"/>
        </w:rPr>
      </w:pPr>
      <w:r>
        <w:rPr>
          <w:rFonts w:cs="Arial"/>
        </w:rPr>
        <w:t>We are</w:t>
      </w:r>
      <w:r w:rsidR="00B04534">
        <w:rPr>
          <w:rFonts w:cs="Arial"/>
        </w:rPr>
        <w:t xml:space="preserve"> writing to inform you about a new service which will be available in community pharmacies from 9</w:t>
      </w:r>
      <w:r w:rsidR="00B04534">
        <w:rPr>
          <w:rFonts w:cs="Arial"/>
          <w:vertAlign w:val="superscript"/>
        </w:rPr>
        <w:t>th</w:t>
      </w:r>
      <w:r w:rsidR="00B04534">
        <w:rPr>
          <w:rFonts w:cs="Arial"/>
        </w:rPr>
        <w:t xml:space="preserve"> November 2021.</w:t>
      </w:r>
    </w:p>
    <w:p w:rsidR="00B04534" w:rsidRDefault="00B04534" w:rsidP="00B04534">
      <w:pPr>
        <w:rPr>
          <w:rFonts w:cs="Arial"/>
        </w:rPr>
      </w:pPr>
    </w:p>
    <w:p w:rsidR="00B04534" w:rsidRDefault="00B04534" w:rsidP="00B04534">
      <w:pPr>
        <w:rPr>
          <w:rFonts w:cs="Arial"/>
        </w:rPr>
      </w:pPr>
      <w:r>
        <w:rPr>
          <w:rFonts w:cs="Arial"/>
        </w:rPr>
        <w:t>The Women’s Health Plan, published by the Scottish Government in August 2021 included a commitment to improve access to contraception services.  From 9</w:t>
      </w:r>
      <w:r>
        <w:rPr>
          <w:rFonts w:cs="Arial"/>
          <w:vertAlign w:val="superscript"/>
        </w:rPr>
        <w:t>th</w:t>
      </w:r>
      <w:r>
        <w:rPr>
          <w:rFonts w:cs="Arial"/>
        </w:rPr>
        <w:t xml:space="preserve"> November, primarily as part of a consultation for emergency hormonal contraception (EHC), community pharmacies will be able to offer individuals a temporary 3-month supply of desogestrel (progestogen-only pill) during that EHC consultation, if clinically appropriate to do so. </w:t>
      </w:r>
    </w:p>
    <w:p w:rsidR="00B04534" w:rsidRDefault="00B04534" w:rsidP="00B04534">
      <w:pPr>
        <w:rPr>
          <w:rFonts w:cs="Arial"/>
        </w:rPr>
      </w:pPr>
    </w:p>
    <w:p w:rsidR="00B04534" w:rsidRDefault="00B04534" w:rsidP="00B04534">
      <w:pPr>
        <w:rPr>
          <w:rFonts w:cs="Arial"/>
        </w:rPr>
      </w:pPr>
      <w:r>
        <w:rPr>
          <w:rFonts w:cs="Arial"/>
        </w:rPr>
        <w:t>This approach is not intended to replace existing services currently providing contraception, but is to widen access and bridge the gap between EHC and use of longer term contraception, therefore minimising the risk of unplanned pregnancy</w:t>
      </w:r>
      <w:r w:rsidR="002A779C">
        <w:rPr>
          <w:rFonts w:cs="Arial"/>
        </w:rPr>
        <w:t>.</w:t>
      </w:r>
    </w:p>
    <w:p w:rsidR="00B04534" w:rsidRDefault="00B04534" w:rsidP="00B04534">
      <w:pPr>
        <w:rPr>
          <w:rFonts w:cs="Arial"/>
        </w:rPr>
      </w:pPr>
    </w:p>
    <w:p w:rsidR="00B04534" w:rsidRDefault="00B04534" w:rsidP="00B04534">
      <w:pPr>
        <w:rPr>
          <w:rFonts w:cs="Arial"/>
        </w:rPr>
      </w:pPr>
      <w:r>
        <w:rPr>
          <w:rFonts w:cs="Arial"/>
        </w:rPr>
        <w:t>GP practice staff should be aware that community pharmacies will be able to supply the progestogen-only pill for a 3-month period in line with a national Patient Group Direction (PGD).  Thereafter, individuals wishing to continue with a regular supply or access an alternative method of contraception, may contact their GP practice to request a repeat prescription or request an appointment to discuss their options.</w:t>
      </w:r>
    </w:p>
    <w:p w:rsidR="00B04534" w:rsidRDefault="00B04534" w:rsidP="00B04534">
      <w:pPr>
        <w:rPr>
          <w:rFonts w:cs="Arial"/>
        </w:rPr>
      </w:pPr>
    </w:p>
    <w:p w:rsidR="00B04534" w:rsidRDefault="00B04534" w:rsidP="00B04534">
      <w:pPr>
        <w:rPr>
          <w:rFonts w:cs="Arial"/>
        </w:rPr>
      </w:pPr>
      <w:r>
        <w:rPr>
          <w:rFonts w:cs="Arial"/>
        </w:rPr>
        <w:t>Community pharmacies will notify an individual’s GP practice that a supply has been made, so that their medical history may be updated and to support the provision of ongoing care.  They will also direct individuals to patient information about the different types of contraception available.</w:t>
      </w:r>
    </w:p>
    <w:p w:rsidR="00B04534" w:rsidRDefault="00B04534" w:rsidP="00B04534">
      <w:pPr>
        <w:rPr>
          <w:rFonts w:cs="Arial"/>
        </w:rPr>
      </w:pPr>
    </w:p>
    <w:p w:rsidR="00B04534" w:rsidRDefault="00B04534" w:rsidP="00B04534">
      <w:pPr>
        <w:rPr>
          <w:rFonts w:cs="Arial"/>
        </w:rPr>
      </w:pPr>
      <w:r>
        <w:rPr>
          <w:rFonts w:cs="Arial"/>
        </w:rPr>
        <w:t>We would appreciate your assistance to ensure that GP practice staff are made aware of this development.  Further guidance and details on the community pharmacy bridging contraception service, which is aimed particularly at practice nurses and practice managers is attached.</w:t>
      </w:r>
    </w:p>
    <w:p w:rsidR="00B04534" w:rsidRDefault="00B04534" w:rsidP="00B04534">
      <w:pPr>
        <w:rPr>
          <w:rFonts w:cs="Arial"/>
        </w:rPr>
      </w:pPr>
    </w:p>
    <w:p w:rsidR="00B86064" w:rsidRDefault="00B86064" w:rsidP="00B04534">
      <w:pPr>
        <w:rPr>
          <w:rFonts w:cs="Arial"/>
        </w:rPr>
      </w:pPr>
    </w:p>
    <w:p w:rsidR="00B86064" w:rsidRDefault="00B86064" w:rsidP="00B04534">
      <w:pPr>
        <w:rPr>
          <w:rFonts w:cs="Arial"/>
        </w:rPr>
      </w:pPr>
    </w:p>
    <w:p w:rsidR="00B04534" w:rsidRDefault="00B04534" w:rsidP="00B04534">
      <w:pPr>
        <w:rPr>
          <w:rFonts w:cs="Arial"/>
        </w:rPr>
      </w:pPr>
      <w:r>
        <w:rPr>
          <w:rFonts w:cs="Arial"/>
        </w:rPr>
        <w:lastRenderedPageBreak/>
        <w:t>Yours sincerely,</w:t>
      </w:r>
    </w:p>
    <w:p w:rsidR="00B04534" w:rsidRDefault="00B04534" w:rsidP="00B04534">
      <w:pPr>
        <w:rPr>
          <w:rFonts w:cs="Arial"/>
        </w:rPr>
      </w:pPr>
    </w:p>
    <w:p w:rsidR="00066ECA" w:rsidRDefault="00066ECA" w:rsidP="00AA5AF0">
      <w:pPr>
        <w:tabs>
          <w:tab w:val="clear" w:pos="720"/>
          <w:tab w:val="clear" w:pos="1440"/>
          <w:tab w:val="clear" w:pos="2160"/>
          <w:tab w:val="clear" w:pos="2880"/>
          <w:tab w:val="left" w:pos="1080"/>
        </w:tabs>
        <w:rPr>
          <w:rFonts w:cs="Arial"/>
        </w:rPr>
      </w:pPr>
    </w:p>
    <w:p w:rsidR="00DD0518" w:rsidRDefault="00DD0518" w:rsidP="0006779D">
      <w:pPr>
        <w:tabs>
          <w:tab w:val="right" w:pos="10170"/>
        </w:tabs>
        <w:rPr>
          <w:rFonts w:cs="Arial"/>
        </w:rPr>
      </w:pPr>
    </w:p>
    <w:p w:rsidR="00454DD2" w:rsidRDefault="006D5D8B" w:rsidP="0006779D">
      <w:pPr>
        <w:tabs>
          <w:tab w:val="right" w:pos="10170"/>
        </w:tabs>
        <w:rPr>
          <w:rFonts w:cs="Arial"/>
        </w:rPr>
      </w:pPr>
      <w:r>
        <w:rPr>
          <w:noProof/>
        </w:rPr>
        <w:drawing>
          <wp:anchor distT="0" distB="0" distL="114300" distR="114300" simplePos="0" relativeHeight="251658240" behindDoc="1" locked="0" layoutInCell="1" allowOverlap="1">
            <wp:simplePos x="0" y="0"/>
            <wp:positionH relativeFrom="column">
              <wp:posOffset>3399790</wp:posOffset>
            </wp:positionH>
            <wp:positionV relativeFrom="paragraph">
              <wp:posOffset>4445</wp:posOffset>
            </wp:positionV>
            <wp:extent cx="1744980" cy="737870"/>
            <wp:effectExtent l="0" t="0" r="7620" b="5080"/>
            <wp:wrapTight wrapText="bothSides">
              <wp:wrapPolygon edited="0">
                <wp:start x="0" y="0"/>
                <wp:lineTo x="0" y="21191"/>
                <wp:lineTo x="21459" y="21191"/>
                <wp:lineTo x="2145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744980" cy="737870"/>
                    </a:xfrm>
                    <a:prstGeom prst="rect">
                      <a:avLst/>
                    </a:prstGeom>
                  </pic:spPr>
                </pic:pic>
              </a:graphicData>
            </a:graphic>
            <wp14:sizeRelH relativeFrom="margin">
              <wp14:pctWidth>0</wp14:pctWidth>
            </wp14:sizeRelH>
            <wp14:sizeRelV relativeFrom="margin">
              <wp14:pctHeight>0</wp14:pctHeight>
            </wp14:sizeRelV>
          </wp:anchor>
        </w:drawing>
      </w:r>
      <w:r w:rsidR="00454DD2">
        <w:rPr>
          <w:rFonts w:cs="Arial"/>
          <w:noProof/>
        </w:rPr>
        <w:drawing>
          <wp:inline distT="0" distB="0" distL="0" distR="0" wp14:anchorId="7F352FDF">
            <wp:extent cx="2048510" cy="80454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510" cy="804545"/>
                    </a:xfrm>
                    <a:prstGeom prst="rect">
                      <a:avLst/>
                    </a:prstGeom>
                    <a:noFill/>
                  </pic:spPr>
                </pic:pic>
              </a:graphicData>
            </a:graphic>
          </wp:inline>
        </w:drawing>
      </w:r>
    </w:p>
    <w:p w:rsidR="00454DD2" w:rsidRDefault="00454DD2" w:rsidP="0006779D">
      <w:pPr>
        <w:tabs>
          <w:tab w:val="right" w:pos="10170"/>
        </w:tabs>
        <w:rPr>
          <w:rFonts w:cs="Arial"/>
          <w:iCs/>
        </w:rPr>
      </w:pPr>
    </w:p>
    <w:p w:rsidR="00AB7143" w:rsidRPr="00AB7143" w:rsidRDefault="00B80F4A" w:rsidP="00AB7143">
      <w:pPr>
        <w:tabs>
          <w:tab w:val="left" w:pos="5387"/>
          <w:tab w:val="right" w:pos="10170"/>
        </w:tabs>
        <w:rPr>
          <w:rFonts w:cs="Arial"/>
          <w:b/>
          <w:iCs/>
          <w:sz w:val="22"/>
          <w:szCs w:val="22"/>
        </w:rPr>
      </w:pPr>
      <w:r w:rsidRPr="00AB7143">
        <w:rPr>
          <w:rFonts w:cs="Arial"/>
          <w:b/>
          <w:iCs/>
          <w:sz w:val="22"/>
          <w:szCs w:val="22"/>
        </w:rPr>
        <w:t>PROFESSOR ALISON STRATH FRPharmS</w:t>
      </w:r>
      <w:r w:rsidR="00AB7143">
        <w:rPr>
          <w:rFonts w:cs="Arial"/>
          <w:b/>
          <w:iCs/>
          <w:sz w:val="22"/>
          <w:szCs w:val="22"/>
        </w:rPr>
        <w:tab/>
      </w:r>
      <w:r w:rsidR="00AB7143" w:rsidRPr="00AB7143">
        <w:rPr>
          <w:rFonts w:cs="Arial"/>
          <w:b/>
          <w:iCs/>
          <w:sz w:val="22"/>
          <w:szCs w:val="22"/>
        </w:rPr>
        <w:t>NAUREEN AHMED</w:t>
      </w:r>
    </w:p>
    <w:p w:rsidR="00B80F4A" w:rsidRPr="00AB7143" w:rsidRDefault="00B80F4A" w:rsidP="00B80F4A">
      <w:pPr>
        <w:tabs>
          <w:tab w:val="right" w:pos="10170"/>
        </w:tabs>
        <w:rPr>
          <w:b/>
          <w:sz w:val="22"/>
          <w:szCs w:val="22"/>
        </w:rPr>
      </w:pPr>
      <w:r w:rsidRPr="00AB7143">
        <w:rPr>
          <w:b/>
          <w:sz w:val="22"/>
          <w:szCs w:val="22"/>
        </w:rPr>
        <w:t>CHIEF PHARMACEUTICAL OFFICER</w:t>
      </w:r>
      <w:r w:rsidR="00AB7143" w:rsidRPr="00AB7143">
        <w:rPr>
          <w:b/>
          <w:sz w:val="22"/>
          <w:szCs w:val="22"/>
        </w:rPr>
        <w:tab/>
        <w:t>DEPUTY DIRECTOR, GENERAL PRACTICE</w:t>
      </w:r>
    </w:p>
    <w:p w:rsidR="00A058ED" w:rsidRPr="0006779D" w:rsidRDefault="00A058ED" w:rsidP="0006779D">
      <w:pPr>
        <w:tabs>
          <w:tab w:val="right" w:pos="10170"/>
        </w:tabs>
        <w:rPr>
          <w:b/>
        </w:rPr>
      </w:pPr>
    </w:p>
    <w:sectPr w:rsidR="00A058ED" w:rsidRPr="0006779D" w:rsidSect="004E326B">
      <w:footerReference w:type="default" r:id="rId10"/>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61" w:rsidRDefault="00A35C61">
      <w:r>
        <w:separator/>
      </w:r>
    </w:p>
  </w:endnote>
  <w:endnote w:type="continuationSeparator" w:id="0">
    <w:p w:rsidR="00A35C61" w:rsidRDefault="00A3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ottish Government 2016">
    <w:charset w:val="02"/>
    <w:family w:val="swiss"/>
    <w:pitch w:val="variable"/>
    <w:sig w:usb0="00000000" w:usb1="10000000" w:usb2="00000000" w:usb3="00000000" w:csb0="80000000" w:csb1="00000000"/>
    <w:embedRegular r:id="rId1" w:fontKey="{C54CEFAE-970B-418F-AD79-5B20843153F6}"/>
  </w:font>
  <w:font w:name="Clan-News">
    <w:altName w:val="Corbel"/>
    <w:charset w:val="00"/>
    <w:family w:val="auto"/>
    <w:pitch w:val="variable"/>
    <w:sig w:usb0="00000003" w:usb1="4000204A" w:usb2="00000000" w:usb3="00000000" w:csb0="00000001" w:csb1="00000000"/>
  </w:font>
  <w:font w:name="Arial Narrow">
    <w:panose1 w:val="020B0606020202030204"/>
    <w:charset w:val="00"/>
    <w:family w:val="swiss"/>
    <w:pitch w:val="variable"/>
    <w:sig w:usb0="00000287" w:usb1="00000800" w:usb2="00000000" w:usb3="00000000" w:csb0="0000009F" w:csb1="00000000"/>
    <w:embedRegular r:id="rId2" w:subsetted="1" w:fontKey="{61954BB9-7A9D-43F9-8BDA-C9C2AB56E9A7}"/>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DD2" w:rsidRPr="00454DD2" w:rsidRDefault="00454DD2" w:rsidP="00454DD2">
    <w:pPr>
      <w:spacing w:line="214" w:lineRule="exact"/>
      <w:ind w:left="20"/>
      <w:rPr>
        <w:w w:val="105"/>
        <w:sz w:val="18"/>
        <w:szCs w:val="18"/>
      </w:rPr>
    </w:pPr>
    <w:r w:rsidRPr="00454DD2">
      <w:rPr>
        <w:spacing w:val="-9"/>
        <w:w w:val="105"/>
        <w:sz w:val="18"/>
        <w:szCs w:val="18"/>
      </w:rPr>
      <w:t>Scottish</w:t>
    </w:r>
    <w:r w:rsidRPr="00454DD2">
      <w:rPr>
        <w:spacing w:val="-25"/>
        <w:w w:val="105"/>
        <w:sz w:val="18"/>
        <w:szCs w:val="18"/>
      </w:rPr>
      <w:t xml:space="preserve"> </w:t>
    </w:r>
    <w:r w:rsidRPr="00454DD2">
      <w:rPr>
        <w:spacing w:val="-9"/>
        <w:w w:val="105"/>
        <w:sz w:val="18"/>
        <w:szCs w:val="18"/>
      </w:rPr>
      <w:t>Ministers,</w:t>
    </w:r>
    <w:r w:rsidRPr="00454DD2">
      <w:rPr>
        <w:spacing w:val="-20"/>
        <w:w w:val="105"/>
        <w:sz w:val="18"/>
        <w:szCs w:val="18"/>
      </w:rPr>
      <w:t xml:space="preserve"> </w:t>
    </w:r>
    <w:r w:rsidRPr="00454DD2">
      <w:rPr>
        <w:spacing w:val="-10"/>
        <w:w w:val="105"/>
        <w:sz w:val="18"/>
        <w:szCs w:val="18"/>
      </w:rPr>
      <w:t>special</w:t>
    </w:r>
    <w:r w:rsidRPr="00454DD2">
      <w:rPr>
        <w:spacing w:val="-26"/>
        <w:w w:val="105"/>
        <w:sz w:val="18"/>
        <w:szCs w:val="18"/>
      </w:rPr>
      <w:t xml:space="preserve"> </w:t>
    </w:r>
    <w:r w:rsidRPr="00454DD2">
      <w:rPr>
        <w:spacing w:val="-9"/>
        <w:w w:val="105"/>
        <w:sz w:val="18"/>
        <w:szCs w:val="18"/>
      </w:rPr>
      <w:t>advisers</w:t>
    </w:r>
    <w:r w:rsidRPr="00454DD2">
      <w:rPr>
        <w:spacing w:val="-30"/>
        <w:w w:val="105"/>
        <w:sz w:val="18"/>
        <w:szCs w:val="18"/>
      </w:rPr>
      <w:t xml:space="preserve"> </w:t>
    </w:r>
    <w:r w:rsidRPr="00454DD2">
      <w:rPr>
        <w:spacing w:val="-6"/>
        <w:w w:val="105"/>
        <w:sz w:val="18"/>
        <w:szCs w:val="18"/>
      </w:rPr>
      <w:t>and</w:t>
    </w:r>
    <w:r w:rsidRPr="00454DD2">
      <w:rPr>
        <w:spacing w:val="-25"/>
        <w:w w:val="105"/>
        <w:sz w:val="18"/>
        <w:szCs w:val="18"/>
      </w:rPr>
      <w:t xml:space="preserve"> </w:t>
    </w:r>
    <w:r w:rsidRPr="00454DD2">
      <w:rPr>
        <w:spacing w:val="-6"/>
        <w:w w:val="105"/>
        <w:sz w:val="18"/>
        <w:szCs w:val="18"/>
      </w:rPr>
      <w:t>the</w:t>
    </w:r>
    <w:r w:rsidRPr="00454DD2">
      <w:rPr>
        <w:spacing w:val="-29"/>
        <w:w w:val="105"/>
        <w:sz w:val="18"/>
        <w:szCs w:val="18"/>
      </w:rPr>
      <w:t xml:space="preserve"> </w:t>
    </w:r>
    <w:r w:rsidRPr="00454DD2">
      <w:rPr>
        <w:spacing w:val="-9"/>
        <w:w w:val="105"/>
        <w:sz w:val="18"/>
        <w:szCs w:val="18"/>
      </w:rPr>
      <w:t>Permanent</w:t>
    </w:r>
    <w:r w:rsidRPr="00454DD2">
      <w:rPr>
        <w:spacing w:val="-27"/>
        <w:w w:val="105"/>
        <w:sz w:val="18"/>
        <w:szCs w:val="18"/>
      </w:rPr>
      <w:t xml:space="preserve"> </w:t>
    </w:r>
    <w:r w:rsidRPr="00454DD2">
      <w:rPr>
        <w:spacing w:val="-9"/>
        <w:w w:val="105"/>
        <w:sz w:val="18"/>
        <w:szCs w:val="18"/>
      </w:rPr>
      <w:t>Secretary</w:t>
    </w:r>
    <w:r w:rsidRPr="00454DD2">
      <w:rPr>
        <w:spacing w:val="-27"/>
        <w:w w:val="105"/>
        <w:sz w:val="18"/>
        <w:szCs w:val="18"/>
      </w:rPr>
      <w:t xml:space="preserve"> </w:t>
    </w:r>
    <w:r w:rsidRPr="00454DD2">
      <w:rPr>
        <w:spacing w:val="-6"/>
        <w:w w:val="105"/>
        <w:sz w:val="18"/>
        <w:szCs w:val="18"/>
      </w:rPr>
      <w:t>are</w:t>
    </w:r>
    <w:r w:rsidRPr="00454DD2">
      <w:rPr>
        <w:spacing w:val="-29"/>
        <w:w w:val="105"/>
        <w:sz w:val="18"/>
        <w:szCs w:val="18"/>
      </w:rPr>
      <w:t xml:space="preserve"> </w:t>
    </w:r>
    <w:r w:rsidRPr="00454DD2">
      <w:rPr>
        <w:spacing w:val="-8"/>
        <w:w w:val="105"/>
        <w:sz w:val="18"/>
        <w:szCs w:val="18"/>
      </w:rPr>
      <w:t>covered</w:t>
    </w:r>
    <w:r w:rsidRPr="00454DD2">
      <w:rPr>
        <w:spacing w:val="-25"/>
        <w:w w:val="105"/>
        <w:sz w:val="18"/>
        <w:szCs w:val="18"/>
      </w:rPr>
      <w:t xml:space="preserve"> </w:t>
    </w:r>
    <w:r w:rsidRPr="00454DD2">
      <w:rPr>
        <w:spacing w:val="-4"/>
        <w:w w:val="105"/>
        <w:sz w:val="18"/>
        <w:szCs w:val="18"/>
      </w:rPr>
      <w:t>by</w:t>
    </w:r>
    <w:r w:rsidRPr="00454DD2">
      <w:rPr>
        <w:spacing w:val="-26"/>
        <w:w w:val="105"/>
        <w:sz w:val="18"/>
        <w:szCs w:val="18"/>
      </w:rPr>
      <w:t xml:space="preserve"> </w:t>
    </w:r>
    <w:r w:rsidRPr="00454DD2">
      <w:rPr>
        <w:spacing w:val="-6"/>
        <w:w w:val="105"/>
        <w:sz w:val="18"/>
        <w:szCs w:val="18"/>
      </w:rPr>
      <w:t>the</w:t>
    </w:r>
    <w:r w:rsidRPr="00454DD2">
      <w:rPr>
        <w:spacing w:val="-29"/>
        <w:w w:val="105"/>
        <w:sz w:val="18"/>
        <w:szCs w:val="18"/>
      </w:rPr>
      <w:t xml:space="preserve"> </w:t>
    </w:r>
    <w:r w:rsidRPr="00454DD2">
      <w:rPr>
        <w:spacing w:val="-8"/>
        <w:w w:val="105"/>
        <w:sz w:val="18"/>
        <w:szCs w:val="18"/>
      </w:rPr>
      <w:t>terms</w:t>
    </w:r>
    <w:r w:rsidRPr="00454DD2">
      <w:rPr>
        <w:spacing w:val="-30"/>
        <w:w w:val="105"/>
        <w:sz w:val="18"/>
        <w:szCs w:val="18"/>
      </w:rPr>
      <w:t xml:space="preserve"> </w:t>
    </w:r>
    <w:r w:rsidRPr="00454DD2">
      <w:rPr>
        <w:w w:val="105"/>
        <w:sz w:val="18"/>
        <w:szCs w:val="18"/>
      </w:rPr>
      <w:t>of</w:t>
    </w:r>
    <w:r w:rsidRPr="00454DD2">
      <w:rPr>
        <w:spacing w:val="-29"/>
        <w:w w:val="105"/>
        <w:sz w:val="18"/>
        <w:szCs w:val="18"/>
      </w:rPr>
      <w:t xml:space="preserve"> </w:t>
    </w:r>
    <w:r w:rsidRPr="00454DD2">
      <w:rPr>
        <w:spacing w:val="-6"/>
        <w:w w:val="105"/>
        <w:sz w:val="18"/>
        <w:szCs w:val="18"/>
      </w:rPr>
      <w:t>the</w:t>
    </w:r>
    <w:r w:rsidRPr="00454DD2">
      <w:rPr>
        <w:spacing w:val="-30"/>
        <w:w w:val="105"/>
        <w:sz w:val="18"/>
        <w:szCs w:val="18"/>
      </w:rPr>
      <w:t xml:space="preserve"> </w:t>
    </w:r>
    <w:r w:rsidRPr="00454DD2">
      <w:rPr>
        <w:spacing w:val="-7"/>
        <w:w w:val="105"/>
        <w:sz w:val="18"/>
        <w:szCs w:val="18"/>
      </w:rPr>
      <w:t>Lobbying</w:t>
    </w:r>
    <w:r w:rsidRPr="00454DD2">
      <w:rPr>
        <w:spacing w:val="-29"/>
        <w:w w:val="105"/>
        <w:sz w:val="18"/>
        <w:szCs w:val="18"/>
      </w:rPr>
      <w:t xml:space="preserve"> </w:t>
    </w:r>
    <w:r w:rsidRPr="00454DD2">
      <w:rPr>
        <w:spacing w:val="-7"/>
        <w:w w:val="105"/>
        <w:sz w:val="18"/>
        <w:szCs w:val="18"/>
      </w:rPr>
      <w:t>(Scotland)</w:t>
    </w:r>
    <w:r w:rsidRPr="00454DD2">
      <w:rPr>
        <w:spacing w:val="-19"/>
        <w:w w:val="105"/>
        <w:sz w:val="18"/>
        <w:szCs w:val="18"/>
      </w:rPr>
      <w:t xml:space="preserve"> </w:t>
    </w:r>
    <w:r w:rsidRPr="00454DD2">
      <w:rPr>
        <w:spacing w:val="-7"/>
        <w:w w:val="105"/>
        <w:sz w:val="18"/>
        <w:szCs w:val="18"/>
      </w:rPr>
      <w:t>Act</w:t>
    </w:r>
    <w:r w:rsidRPr="00454DD2">
      <w:rPr>
        <w:spacing w:val="-27"/>
        <w:w w:val="105"/>
        <w:sz w:val="18"/>
        <w:szCs w:val="18"/>
      </w:rPr>
      <w:t xml:space="preserve"> </w:t>
    </w:r>
    <w:r w:rsidRPr="00454DD2">
      <w:rPr>
        <w:spacing w:val="-8"/>
        <w:w w:val="105"/>
        <w:sz w:val="18"/>
        <w:szCs w:val="18"/>
      </w:rPr>
      <w:t>2016.</w:t>
    </w:r>
    <w:r w:rsidRPr="00454DD2">
      <w:rPr>
        <w:spacing w:val="-20"/>
        <w:w w:val="105"/>
        <w:sz w:val="18"/>
        <w:szCs w:val="18"/>
      </w:rPr>
      <w:t xml:space="preserve"> </w:t>
    </w:r>
    <w:r w:rsidRPr="00454DD2">
      <w:rPr>
        <w:spacing w:val="-8"/>
        <w:w w:val="105"/>
        <w:sz w:val="18"/>
        <w:szCs w:val="18"/>
      </w:rPr>
      <w:t>See</w:t>
    </w:r>
    <w:r w:rsidRPr="00454DD2">
      <w:rPr>
        <w:sz w:val="18"/>
        <w:szCs w:val="18"/>
      </w:rPr>
      <w:t xml:space="preserve"> </w:t>
    </w:r>
    <w:hyperlink r:id="rId1">
      <w:r w:rsidRPr="00454DD2">
        <w:rPr>
          <w:w w:val="105"/>
          <w:sz w:val="18"/>
          <w:szCs w:val="18"/>
        </w:rPr>
        <w:t>www.lobbying.scot</w:t>
      </w:r>
    </w:hyperlink>
  </w:p>
  <w:p w:rsidR="00454DD2" w:rsidRDefault="00454DD2" w:rsidP="00454DD2">
    <w:pPr>
      <w:spacing w:line="214" w:lineRule="exact"/>
      <w:ind w:left="20"/>
      <w:rPr>
        <w:w w:val="105"/>
        <w:sz w:val="19"/>
      </w:rPr>
    </w:pPr>
    <w:r>
      <w:rPr>
        <w:noProof/>
      </w:rPr>
      <w:t xml:space="preserve"> </w:t>
    </w:r>
  </w:p>
  <w:p w:rsidR="00454DD2" w:rsidRDefault="00454DD2" w:rsidP="00454DD2">
    <w:pPr>
      <w:widowControl w:val="0"/>
      <w:tabs>
        <w:tab w:val="clear" w:pos="720"/>
        <w:tab w:val="clear" w:pos="1440"/>
        <w:tab w:val="clear" w:pos="2160"/>
        <w:tab w:val="clear" w:pos="2880"/>
        <w:tab w:val="clear" w:pos="9907"/>
      </w:tabs>
      <w:autoSpaceDE w:val="0"/>
      <w:autoSpaceDN w:val="0"/>
      <w:spacing w:line="256" w:lineRule="auto"/>
      <w:ind w:left="20"/>
      <w:rPr>
        <w:rFonts w:eastAsia="Arial Narrow" w:hAnsi="Arial Narrow" w:cs="Arial Narrow"/>
        <w:spacing w:val="-5"/>
        <w:sz w:val="22"/>
        <w:szCs w:val="22"/>
        <w:lang w:val="en-US" w:eastAsia="en-US"/>
      </w:rPr>
    </w:pPr>
    <w:r>
      <w:rPr>
        <w:noProof/>
      </w:rPr>
      <w:drawing>
        <wp:anchor distT="0" distB="0" distL="0" distR="0" simplePos="0" relativeHeight="251659264" behindDoc="1" locked="0" layoutInCell="1" allowOverlap="1" wp14:anchorId="653E31EE" wp14:editId="1E0E5DD1">
          <wp:simplePos x="0" y="0"/>
          <wp:positionH relativeFrom="page">
            <wp:posOffset>4456342</wp:posOffset>
          </wp:positionH>
          <wp:positionV relativeFrom="bottomMargin">
            <wp:posOffset>413399</wp:posOffset>
          </wp:positionV>
          <wp:extent cx="2658249" cy="333820"/>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658249" cy="333820"/>
                  </a:xfrm>
                  <a:prstGeom prst="rect">
                    <a:avLst/>
                  </a:prstGeom>
                </pic:spPr>
              </pic:pic>
            </a:graphicData>
          </a:graphic>
        </wp:anchor>
      </w:drawing>
    </w:r>
    <w:r w:rsidRPr="00454DD2">
      <w:rPr>
        <w:rFonts w:eastAsia="Arial Narrow" w:hAnsi="Arial Narrow" w:cs="Arial Narrow"/>
        <w:spacing w:val="-6"/>
        <w:sz w:val="22"/>
        <w:szCs w:val="22"/>
        <w:lang w:val="en-US" w:eastAsia="en-US"/>
      </w:rPr>
      <w:t>St</w:t>
    </w:r>
    <w:r w:rsidRPr="00454DD2">
      <w:rPr>
        <w:rFonts w:eastAsia="Arial Narrow" w:hAnsi="Arial Narrow" w:cs="Arial Narrow"/>
        <w:spacing w:val="-15"/>
        <w:sz w:val="22"/>
        <w:szCs w:val="22"/>
        <w:lang w:val="en-US" w:eastAsia="en-US"/>
      </w:rPr>
      <w:t xml:space="preserve"> </w:t>
    </w:r>
    <w:r w:rsidR="006755E5">
      <w:rPr>
        <w:rFonts w:eastAsia="Arial Narrow" w:hAnsi="Arial Narrow" w:cs="Arial Narrow"/>
        <w:spacing w:val="-6"/>
        <w:sz w:val="22"/>
        <w:szCs w:val="22"/>
        <w:lang w:val="en-US" w:eastAsia="en-US"/>
      </w:rPr>
      <w:t>Andrew</w:t>
    </w:r>
    <w:r w:rsidR="006755E5">
      <w:rPr>
        <w:rFonts w:eastAsia="Arial Narrow" w:hAnsi="Arial Narrow" w:cs="Arial Narrow"/>
        <w:spacing w:val="-6"/>
        <w:sz w:val="22"/>
        <w:szCs w:val="22"/>
        <w:lang w:val="en-US" w:eastAsia="en-US"/>
      </w:rPr>
      <w:t>’</w:t>
    </w:r>
    <w:r w:rsidRPr="00454DD2">
      <w:rPr>
        <w:rFonts w:eastAsia="Arial Narrow" w:hAnsi="Arial Narrow" w:cs="Arial Narrow"/>
        <w:spacing w:val="-6"/>
        <w:sz w:val="22"/>
        <w:szCs w:val="22"/>
        <w:lang w:val="en-US" w:eastAsia="en-US"/>
      </w:rPr>
      <w:t>s</w:t>
    </w:r>
    <w:r w:rsidRPr="00454DD2">
      <w:rPr>
        <w:rFonts w:eastAsia="Arial Narrow" w:hAnsi="Arial Narrow" w:cs="Arial Narrow"/>
        <w:spacing w:val="-19"/>
        <w:sz w:val="22"/>
        <w:szCs w:val="22"/>
        <w:lang w:val="en-US" w:eastAsia="en-US"/>
      </w:rPr>
      <w:t xml:space="preserve"> </w:t>
    </w:r>
    <w:r w:rsidRPr="00454DD2">
      <w:rPr>
        <w:rFonts w:eastAsia="Arial Narrow" w:hAnsi="Arial Narrow" w:cs="Arial Narrow"/>
        <w:spacing w:val="-4"/>
        <w:sz w:val="22"/>
        <w:szCs w:val="22"/>
        <w:lang w:val="en-US" w:eastAsia="en-US"/>
      </w:rPr>
      <w:t>House,</w:t>
    </w:r>
    <w:r w:rsidRPr="00454DD2">
      <w:rPr>
        <w:rFonts w:eastAsia="Arial Narrow" w:hAnsi="Arial Narrow" w:cs="Arial Narrow"/>
        <w:spacing w:val="-16"/>
        <w:sz w:val="22"/>
        <w:szCs w:val="22"/>
        <w:lang w:val="en-US" w:eastAsia="en-US"/>
      </w:rPr>
      <w:t xml:space="preserve"> </w:t>
    </w:r>
    <w:r w:rsidRPr="00454DD2">
      <w:rPr>
        <w:rFonts w:eastAsia="Arial Narrow" w:hAnsi="Arial Narrow" w:cs="Arial Narrow"/>
        <w:spacing w:val="-3"/>
        <w:sz w:val="22"/>
        <w:szCs w:val="22"/>
        <w:lang w:val="en-US" w:eastAsia="en-US"/>
      </w:rPr>
      <w:t>Regent</w:t>
    </w:r>
    <w:r w:rsidRPr="00454DD2">
      <w:rPr>
        <w:rFonts w:eastAsia="Arial Narrow" w:hAnsi="Arial Narrow" w:cs="Arial Narrow"/>
        <w:spacing w:val="-14"/>
        <w:sz w:val="22"/>
        <w:szCs w:val="22"/>
        <w:lang w:val="en-US" w:eastAsia="en-US"/>
      </w:rPr>
      <w:t xml:space="preserve"> </w:t>
    </w:r>
    <w:r w:rsidRPr="00454DD2">
      <w:rPr>
        <w:rFonts w:eastAsia="Arial Narrow" w:hAnsi="Arial Narrow" w:cs="Arial Narrow"/>
        <w:spacing w:val="-6"/>
        <w:sz w:val="22"/>
        <w:szCs w:val="22"/>
        <w:lang w:val="en-US" w:eastAsia="en-US"/>
      </w:rPr>
      <w:t>Road,</w:t>
    </w:r>
    <w:r w:rsidRPr="00454DD2">
      <w:rPr>
        <w:rFonts w:eastAsia="Arial Narrow" w:hAnsi="Arial Narrow" w:cs="Arial Narrow"/>
        <w:spacing w:val="-16"/>
        <w:sz w:val="22"/>
        <w:szCs w:val="22"/>
        <w:lang w:val="en-US" w:eastAsia="en-US"/>
      </w:rPr>
      <w:t xml:space="preserve"> </w:t>
    </w:r>
    <w:r w:rsidRPr="00454DD2">
      <w:rPr>
        <w:rFonts w:eastAsia="Arial Narrow" w:hAnsi="Arial Narrow" w:cs="Arial Narrow"/>
        <w:spacing w:val="-6"/>
        <w:sz w:val="22"/>
        <w:szCs w:val="22"/>
        <w:lang w:val="en-US" w:eastAsia="en-US"/>
      </w:rPr>
      <w:t>Edinburgh</w:t>
    </w:r>
    <w:r w:rsidRPr="00454DD2">
      <w:rPr>
        <w:rFonts w:eastAsia="Arial Narrow" w:hAnsi="Arial Narrow" w:cs="Arial Narrow"/>
        <w:spacing w:val="-17"/>
        <w:sz w:val="22"/>
        <w:szCs w:val="22"/>
        <w:lang w:val="en-US" w:eastAsia="en-US"/>
      </w:rPr>
      <w:t xml:space="preserve"> </w:t>
    </w:r>
    <w:r w:rsidRPr="00454DD2">
      <w:rPr>
        <w:rFonts w:eastAsia="Arial Narrow" w:hAnsi="Arial Narrow" w:cs="Arial Narrow"/>
        <w:spacing w:val="-4"/>
        <w:sz w:val="22"/>
        <w:szCs w:val="22"/>
        <w:lang w:val="en-US" w:eastAsia="en-US"/>
      </w:rPr>
      <w:t>EH1</w:t>
    </w:r>
    <w:r w:rsidRPr="00454DD2">
      <w:rPr>
        <w:rFonts w:eastAsia="Arial Narrow" w:hAnsi="Arial Narrow" w:cs="Arial Narrow"/>
        <w:spacing w:val="-21"/>
        <w:sz w:val="22"/>
        <w:szCs w:val="22"/>
        <w:lang w:val="en-US" w:eastAsia="en-US"/>
      </w:rPr>
      <w:t xml:space="preserve"> </w:t>
    </w:r>
    <w:r w:rsidRPr="00454DD2">
      <w:rPr>
        <w:rFonts w:eastAsia="Arial Narrow" w:hAnsi="Arial Narrow" w:cs="Arial Narrow"/>
        <w:spacing w:val="-5"/>
        <w:sz w:val="22"/>
        <w:szCs w:val="22"/>
        <w:lang w:val="en-US" w:eastAsia="en-US"/>
      </w:rPr>
      <w:t>3DG</w:t>
    </w:r>
  </w:p>
  <w:p w:rsidR="007607FF" w:rsidRPr="00454DD2" w:rsidRDefault="00695766" w:rsidP="00454DD2">
    <w:pPr>
      <w:widowControl w:val="0"/>
      <w:tabs>
        <w:tab w:val="clear" w:pos="720"/>
        <w:tab w:val="clear" w:pos="1440"/>
        <w:tab w:val="clear" w:pos="2160"/>
        <w:tab w:val="clear" w:pos="2880"/>
        <w:tab w:val="clear" w:pos="9907"/>
      </w:tabs>
      <w:autoSpaceDE w:val="0"/>
      <w:autoSpaceDN w:val="0"/>
      <w:spacing w:line="256" w:lineRule="auto"/>
      <w:ind w:left="20"/>
      <w:rPr>
        <w:rFonts w:eastAsia="Arial Narrow" w:hAnsi="Arial Narrow" w:cs="Arial Narrow"/>
        <w:sz w:val="22"/>
        <w:szCs w:val="22"/>
        <w:lang w:val="en-US" w:eastAsia="en-US"/>
      </w:rPr>
    </w:pPr>
    <w:hyperlink r:id="rId3">
      <w:r w:rsidR="00454DD2" w:rsidRPr="00454DD2">
        <w:rPr>
          <w:rFonts w:eastAsia="Arial Narrow" w:hAnsi="Arial Narrow" w:cs="Arial Narrow"/>
          <w:spacing w:val="-10"/>
          <w:sz w:val="22"/>
          <w:szCs w:val="22"/>
          <w:lang w:val="en-US" w:eastAsia="en-US"/>
        </w:rPr>
        <w:t>www.gov.scot</w:t>
      </w:r>
    </w:hyperlink>
    <w:r w:rsidR="00454DD2">
      <w:rPr>
        <w:rFonts w:eastAsia="Arial Narrow" w:hAnsi="Arial Narrow" w:cs="Arial Narrow"/>
        <w:spacing w:val="-10"/>
        <w:sz w:val="22"/>
        <w:szCs w:val="22"/>
        <w:lang w:val="en-US"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61" w:rsidRDefault="00A35C61">
      <w:r>
        <w:separator/>
      </w:r>
    </w:p>
  </w:footnote>
  <w:footnote w:type="continuationSeparator" w:id="0">
    <w:p w:rsidR="00A35C61" w:rsidRDefault="00A35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5C"/>
    <w:rsid w:val="00000F2A"/>
    <w:rsid w:val="00004B3B"/>
    <w:rsid w:val="000140A6"/>
    <w:rsid w:val="000163B9"/>
    <w:rsid w:val="00035F5A"/>
    <w:rsid w:val="00065325"/>
    <w:rsid w:val="00066ECA"/>
    <w:rsid w:val="0006779D"/>
    <w:rsid w:val="000815FF"/>
    <w:rsid w:val="000F45A0"/>
    <w:rsid w:val="00101B02"/>
    <w:rsid w:val="001333AD"/>
    <w:rsid w:val="00164744"/>
    <w:rsid w:val="00180495"/>
    <w:rsid w:val="00193D7A"/>
    <w:rsid w:val="00195CA5"/>
    <w:rsid w:val="001A5815"/>
    <w:rsid w:val="001C16F8"/>
    <w:rsid w:val="001C63CF"/>
    <w:rsid w:val="001D4BD8"/>
    <w:rsid w:val="001E3519"/>
    <w:rsid w:val="001E5C37"/>
    <w:rsid w:val="001F5C9E"/>
    <w:rsid w:val="0020014E"/>
    <w:rsid w:val="002007E0"/>
    <w:rsid w:val="0020126D"/>
    <w:rsid w:val="0020228B"/>
    <w:rsid w:val="002064EF"/>
    <w:rsid w:val="00207150"/>
    <w:rsid w:val="0021652B"/>
    <w:rsid w:val="00233459"/>
    <w:rsid w:val="00243C2F"/>
    <w:rsid w:val="00255D6F"/>
    <w:rsid w:val="00257C07"/>
    <w:rsid w:val="00260671"/>
    <w:rsid w:val="0026378A"/>
    <w:rsid w:val="00272507"/>
    <w:rsid w:val="00291FA9"/>
    <w:rsid w:val="002923B0"/>
    <w:rsid w:val="002A2C26"/>
    <w:rsid w:val="002A3C0B"/>
    <w:rsid w:val="002A48C6"/>
    <w:rsid w:val="002A549A"/>
    <w:rsid w:val="002A779C"/>
    <w:rsid w:val="002B06F7"/>
    <w:rsid w:val="002B3764"/>
    <w:rsid w:val="002B54DE"/>
    <w:rsid w:val="002B6506"/>
    <w:rsid w:val="002C48F8"/>
    <w:rsid w:val="002D0AD5"/>
    <w:rsid w:val="002D3C37"/>
    <w:rsid w:val="002D3E68"/>
    <w:rsid w:val="002E0112"/>
    <w:rsid w:val="002E1833"/>
    <w:rsid w:val="002E1FCA"/>
    <w:rsid w:val="002E273E"/>
    <w:rsid w:val="00310411"/>
    <w:rsid w:val="0031347D"/>
    <w:rsid w:val="00331564"/>
    <w:rsid w:val="00335EAD"/>
    <w:rsid w:val="00336D51"/>
    <w:rsid w:val="00340919"/>
    <w:rsid w:val="00340DD6"/>
    <w:rsid w:val="00350CBD"/>
    <w:rsid w:val="00351DC6"/>
    <w:rsid w:val="00360671"/>
    <w:rsid w:val="00382F48"/>
    <w:rsid w:val="003B3F65"/>
    <w:rsid w:val="003C670D"/>
    <w:rsid w:val="003D1356"/>
    <w:rsid w:val="003F19B2"/>
    <w:rsid w:val="003F637C"/>
    <w:rsid w:val="0041410B"/>
    <w:rsid w:val="0041512B"/>
    <w:rsid w:val="004229A6"/>
    <w:rsid w:val="00422C3C"/>
    <w:rsid w:val="004252A1"/>
    <w:rsid w:val="004310BF"/>
    <w:rsid w:val="004324AF"/>
    <w:rsid w:val="004351F3"/>
    <w:rsid w:val="00436A47"/>
    <w:rsid w:val="00447CEB"/>
    <w:rsid w:val="00452260"/>
    <w:rsid w:val="00454DD2"/>
    <w:rsid w:val="004577E6"/>
    <w:rsid w:val="0047187A"/>
    <w:rsid w:val="00472F5C"/>
    <w:rsid w:val="004829BF"/>
    <w:rsid w:val="00482E79"/>
    <w:rsid w:val="004836D6"/>
    <w:rsid w:val="00490D88"/>
    <w:rsid w:val="00493833"/>
    <w:rsid w:val="0049756E"/>
    <w:rsid w:val="004A2FB8"/>
    <w:rsid w:val="004A55C8"/>
    <w:rsid w:val="004A6105"/>
    <w:rsid w:val="004A6FA6"/>
    <w:rsid w:val="004D6CA5"/>
    <w:rsid w:val="004E0430"/>
    <w:rsid w:val="004E1487"/>
    <w:rsid w:val="004E326B"/>
    <w:rsid w:val="004F3E58"/>
    <w:rsid w:val="00516BF2"/>
    <w:rsid w:val="00524350"/>
    <w:rsid w:val="00534BEA"/>
    <w:rsid w:val="00554279"/>
    <w:rsid w:val="00561B59"/>
    <w:rsid w:val="005638B5"/>
    <w:rsid w:val="00563D70"/>
    <w:rsid w:val="00572BD7"/>
    <w:rsid w:val="00574573"/>
    <w:rsid w:val="00584278"/>
    <w:rsid w:val="00587834"/>
    <w:rsid w:val="00590B80"/>
    <w:rsid w:val="00596CD4"/>
    <w:rsid w:val="005B271A"/>
    <w:rsid w:val="005C0B4B"/>
    <w:rsid w:val="005C3686"/>
    <w:rsid w:val="005C707B"/>
    <w:rsid w:val="005D797E"/>
    <w:rsid w:val="005F47D5"/>
    <w:rsid w:val="0062325E"/>
    <w:rsid w:val="00626FCC"/>
    <w:rsid w:val="00627D32"/>
    <w:rsid w:val="0063120D"/>
    <w:rsid w:val="00632545"/>
    <w:rsid w:val="00636754"/>
    <w:rsid w:val="0065084D"/>
    <w:rsid w:val="00665CFF"/>
    <w:rsid w:val="00673BD8"/>
    <w:rsid w:val="006755E5"/>
    <w:rsid w:val="006879F0"/>
    <w:rsid w:val="006A1987"/>
    <w:rsid w:val="006A2846"/>
    <w:rsid w:val="006A3458"/>
    <w:rsid w:val="006C2310"/>
    <w:rsid w:val="006C2FB6"/>
    <w:rsid w:val="006C45EE"/>
    <w:rsid w:val="006C72AC"/>
    <w:rsid w:val="006C7769"/>
    <w:rsid w:val="006D211F"/>
    <w:rsid w:val="006D2437"/>
    <w:rsid w:val="006D5D8B"/>
    <w:rsid w:val="006E1668"/>
    <w:rsid w:val="006E1D64"/>
    <w:rsid w:val="007032AA"/>
    <w:rsid w:val="00714DD9"/>
    <w:rsid w:val="00721109"/>
    <w:rsid w:val="00726031"/>
    <w:rsid w:val="00741D7D"/>
    <w:rsid w:val="00745987"/>
    <w:rsid w:val="00750CAA"/>
    <w:rsid w:val="007607FF"/>
    <w:rsid w:val="00785DF3"/>
    <w:rsid w:val="00792025"/>
    <w:rsid w:val="007B75F5"/>
    <w:rsid w:val="007C5389"/>
    <w:rsid w:val="007E5523"/>
    <w:rsid w:val="007E7436"/>
    <w:rsid w:val="00831CD0"/>
    <w:rsid w:val="008327AB"/>
    <w:rsid w:val="00837D57"/>
    <w:rsid w:val="00872909"/>
    <w:rsid w:val="008740BD"/>
    <w:rsid w:val="00874D59"/>
    <w:rsid w:val="00876EA2"/>
    <w:rsid w:val="0088641F"/>
    <w:rsid w:val="00890313"/>
    <w:rsid w:val="00891DE8"/>
    <w:rsid w:val="00894C51"/>
    <w:rsid w:val="008A3800"/>
    <w:rsid w:val="008B0723"/>
    <w:rsid w:val="008C06E3"/>
    <w:rsid w:val="008E0FDA"/>
    <w:rsid w:val="008E1DB7"/>
    <w:rsid w:val="008E2940"/>
    <w:rsid w:val="008E776F"/>
    <w:rsid w:val="00906607"/>
    <w:rsid w:val="00907D90"/>
    <w:rsid w:val="00911C7F"/>
    <w:rsid w:val="0092038B"/>
    <w:rsid w:val="00926929"/>
    <w:rsid w:val="00930550"/>
    <w:rsid w:val="00932BF2"/>
    <w:rsid w:val="00933C7D"/>
    <w:rsid w:val="00933D20"/>
    <w:rsid w:val="00944102"/>
    <w:rsid w:val="009553BA"/>
    <w:rsid w:val="009615A8"/>
    <w:rsid w:val="0096633D"/>
    <w:rsid w:val="00971DA6"/>
    <w:rsid w:val="00973F4C"/>
    <w:rsid w:val="00981DBE"/>
    <w:rsid w:val="009825D8"/>
    <w:rsid w:val="0099157B"/>
    <w:rsid w:val="009A1417"/>
    <w:rsid w:val="009A5D2B"/>
    <w:rsid w:val="009B2484"/>
    <w:rsid w:val="009C4255"/>
    <w:rsid w:val="009D20EC"/>
    <w:rsid w:val="009D3EBD"/>
    <w:rsid w:val="009D3F67"/>
    <w:rsid w:val="009D4EB7"/>
    <w:rsid w:val="009E6CA7"/>
    <w:rsid w:val="009E6E27"/>
    <w:rsid w:val="009E7D71"/>
    <w:rsid w:val="009F7554"/>
    <w:rsid w:val="009F7E8C"/>
    <w:rsid w:val="00A01610"/>
    <w:rsid w:val="00A058ED"/>
    <w:rsid w:val="00A14A30"/>
    <w:rsid w:val="00A32458"/>
    <w:rsid w:val="00A35C61"/>
    <w:rsid w:val="00A44F5D"/>
    <w:rsid w:val="00A5247F"/>
    <w:rsid w:val="00A64CBC"/>
    <w:rsid w:val="00A8392E"/>
    <w:rsid w:val="00A8455C"/>
    <w:rsid w:val="00AA5AF0"/>
    <w:rsid w:val="00AB0C7A"/>
    <w:rsid w:val="00AB3337"/>
    <w:rsid w:val="00AB5FBD"/>
    <w:rsid w:val="00AB7143"/>
    <w:rsid w:val="00AC0BEE"/>
    <w:rsid w:val="00AC58A9"/>
    <w:rsid w:val="00AE44F2"/>
    <w:rsid w:val="00AF0A86"/>
    <w:rsid w:val="00AF359E"/>
    <w:rsid w:val="00B0311E"/>
    <w:rsid w:val="00B04534"/>
    <w:rsid w:val="00B11240"/>
    <w:rsid w:val="00B12B23"/>
    <w:rsid w:val="00B208D2"/>
    <w:rsid w:val="00B2585A"/>
    <w:rsid w:val="00B44D0C"/>
    <w:rsid w:val="00B45D9F"/>
    <w:rsid w:val="00B5339A"/>
    <w:rsid w:val="00B54307"/>
    <w:rsid w:val="00B62C98"/>
    <w:rsid w:val="00B639E5"/>
    <w:rsid w:val="00B72961"/>
    <w:rsid w:val="00B736AD"/>
    <w:rsid w:val="00B75812"/>
    <w:rsid w:val="00B76C93"/>
    <w:rsid w:val="00B80F4A"/>
    <w:rsid w:val="00B82C7E"/>
    <w:rsid w:val="00B86064"/>
    <w:rsid w:val="00B91074"/>
    <w:rsid w:val="00B979D7"/>
    <w:rsid w:val="00BA245D"/>
    <w:rsid w:val="00BA7D88"/>
    <w:rsid w:val="00BB1166"/>
    <w:rsid w:val="00BD4DBA"/>
    <w:rsid w:val="00C0376E"/>
    <w:rsid w:val="00C05FE1"/>
    <w:rsid w:val="00C07746"/>
    <w:rsid w:val="00C17551"/>
    <w:rsid w:val="00C20267"/>
    <w:rsid w:val="00C21498"/>
    <w:rsid w:val="00C22004"/>
    <w:rsid w:val="00C24B95"/>
    <w:rsid w:val="00C260AF"/>
    <w:rsid w:val="00C40CB8"/>
    <w:rsid w:val="00C43709"/>
    <w:rsid w:val="00C43FBC"/>
    <w:rsid w:val="00C4718D"/>
    <w:rsid w:val="00C64E4F"/>
    <w:rsid w:val="00C84050"/>
    <w:rsid w:val="00C933CE"/>
    <w:rsid w:val="00CA0D9D"/>
    <w:rsid w:val="00CA2317"/>
    <w:rsid w:val="00CA625D"/>
    <w:rsid w:val="00CC1A85"/>
    <w:rsid w:val="00CD1DAB"/>
    <w:rsid w:val="00CD3154"/>
    <w:rsid w:val="00CE5F4A"/>
    <w:rsid w:val="00CF2B11"/>
    <w:rsid w:val="00CF52E2"/>
    <w:rsid w:val="00D003CB"/>
    <w:rsid w:val="00D060B5"/>
    <w:rsid w:val="00D06950"/>
    <w:rsid w:val="00D146CD"/>
    <w:rsid w:val="00D223C0"/>
    <w:rsid w:val="00D24213"/>
    <w:rsid w:val="00D32F29"/>
    <w:rsid w:val="00D5268E"/>
    <w:rsid w:val="00D55631"/>
    <w:rsid w:val="00D63B8A"/>
    <w:rsid w:val="00D73045"/>
    <w:rsid w:val="00D74268"/>
    <w:rsid w:val="00D81BC5"/>
    <w:rsid w:val="00DC2564"/>
    <w:rsid w:val="00DD0518"/>
    <w:rsid w:val="00DD5AF2"/>
    <w:rsid w:val="00DE7636"/>
    <w:rsid w:val="00DF202E"/>
    <w:rsid w:val="00DF4E7E"/>
    <w:rsid w:val="00E00945"/>
    <w:rsid w:val="00E41F01"/>
    <w:rsid w:val="00E422C6"/>
    <w:rsid w:val="00E50BC1"/>
    <w:rsid w:val="00E51A68"/>
    <w:rsid w:val="00E52E62"/>
    <w:rsid w:val="00E6207B"/>
    <w:rsid w:val="00E72C69"/>
    <w:rsid w:val="00E83C7C"/>
    <w:rsid w:val="00E937C2"/>
    <w:rsid w:val="00E968D5"/>
    <w:rsid w:val="00EC517A"/>
    <w:rsid w:val="00EC7AD9"/>
    <w:rsid w:val="00ED58F0"/>
    <w:rsid w:val="00EE3EE3"/>
    <w:rsid w:val="00EE7F1C"/>
    <w:rsid w:val="00EF6D89"/>
    <w:rsid w:val="00F3331C"/>
    <w:rsid w:val="00F52C7D"/>
    <w:rsid w:val="00F77B47"/>
    <w:rsid w:val="00F87C26"/>
    <w:rsid w:val="00FB5754"/>
    <w:rsid w:val="00FE0743"/>
    <w:rsid w:val="00FE1DDA"/>
    <w:rsid w:val="00FE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AC98119B-FC24-40BB-8DCC-B1E23B8D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FollowedHyperlink">
    <w:name w:val="FollowedHyperlink"/>
    <w:rsid w:val="00472F5C"/>
    <w:rPr>
      <w:color w:val="954F72"/>
      <w:u w:val="single"/>
    </w:rPr>
  </w:style>
  <w:style w:type="character" w:styleId="CommentReference">
    <w:name w:val="annotation reference"/>
    <w:rsid w:val="002E0112"/>
    <w:rPr>
      <w:sz w:val="16"/>
      <w:szCs w:val="16"/>
    </w:rPr>
  </w:style>
  <w:style w:type="paragraph" w:styleId="CommentText">
    <w:name w:val="annotation text"/>
    <w:basedOn w:val="Normal"/>
    <w:link w:val="CommentTextChar"/>
    <w:rsid w:val="002E0112"/>
    <w:rPr>
      <w:sz w:val="20"/>
      <w:szCs w:val="20"/>
    </w:rPr>
  </w:style>
  <w:style w:type="character" w:customStyle="1" w:styleId="CommentTextChar">
    <w:name w:val="Comment Text Char"/>
    <w:link w:val="CommentText"/>
    <w:rsid w:val="002E0112"/>
    <w:rPr>
      <w:rFonts w:ascii="Arial" w:hAnsi="Arial"/>
    </w:rPr>
  </w:style>
  <w:style w:type="paragraph" w:styleId="CommentSubject">
    <w:name w:val="annotation subject"/>
    <w:basedOn w:val="CommentText"/>
    <w:next w:val="CommentText"/>
    <w:link w:val="CommentSubjectChar"/>
    <w:rsid w:val="002E0112"/>
    <w:rPr>
      <w:b/>
      <w:bCs/>
    </w:rPr>
  </w:style>
  <w:style w:type="character" w:customStyle="1" w:styleId="CommentSubjectChar">
    <w:name w:val="Comment Subject Char"/>
    <w:link w:val="CommentSubject"/>
    <w:rsid w:val="002E0112"/>
    <w:rPr>
      <w:rFonts w:ascii="Arial" w:hAnsi="Arial"/>
      <w:b/>
      <w:bCs/>
    </w:rPr>
  </w:style>
  <w:style w:type="character" w:customStyle="1" w:styleId="FooterChar">
    <w:name w:val="Footer Char"/>
    <w:link w:val="Footer"/>
    <w:uiPriority w:val="99"/>
    <w:rsid w:val="00B7581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27007">
      <w:bodyDiv w:val="1"/>
      <w:marLeft w:val="0"/>
      <w:marRight w:val="0"/>
      <w:marTop w:val="0"/>
      <w:marBottom w:val="0"/>
      <w:divBdr>
        <w:top w:val="none" w:sz="0" w:space="0" w:color="auto"/>
        <w:left w:val="none" w:sz="0" w:space="0" w:color="auto"/>
        <w:bottom w:val="none" w:sz="0" w:space="0" w:color="auto"/>
        <w:right w:val="none" w:sz="0" w:space="0" w:color="auto"/>
      </w:divBdr>
    </w:div>
    <w:div w:id="736979192">
      <w:bodyDiv w:val="1"/>
      <w:marLeft w:val="0"/>
      <w:marRight w:val="0"/>
      <w:marTop w:val="0"/>
      <w:marBottom w:val="0"/>
      <w:divBdr>
        <w:top w:val="none" w:sz="0" w:space="0" w:color="auto"/>
        <w:left w:val="none" w:sz="0" w:space="0" w:color="auto"/>
        <w:bottom w:val="none" w:sz="0" w:space="0" w:color="auto"/>
        <w:right w:val="none" w:sz="0" w:space="0" w:color="auto"/>
      </w:divBdr>
    </w:div>
    <w:div w:id="1447430505">
      <w:bodyDiv w:val="1"/>
      <w:marLeft w:val="0"/>
      <w:marRight w:val="0"/>
      <w:marTop w:val="0"/>
      <w:marBottom w:val="0"/>
      <w:divBdr>
        <w:top w:val="none" w:sz="0" w:space="0" w:color="auto"/>
        <w:left w:val="none" w:sz="0" w:space="0" w:color="auto"/>
        <w:bottom w:val="none" w:sz="0" w:space="0" w:color="auto"/>
        <w:right w:val="none" w:sz="0" w:space="0" w:color="auto"/>
      </w:divBdr>
    </w:div>
    <w:div w:id="144874399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651984741">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eu@gov.sc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hyperlink" Target="http://www.gov.scot/" TargetMode="External"/><Relationship Id="rId2" Type="http://schemas.openxmlformats.org/officeDocument/2006/relationships/image" Target="media/image3.jpeg"/><Relationship Id="rId1" Type="http://schemas.openxmlformats.org/officeDocument/2006/relationships/hyperlink" Target="http://www.lobbyin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Pharmacy and Medicines Division.dot</vt:lpstr>
    </vt:vector>
  </TitlesOfParts>
  <Manager/>
  <Company>Scottish Executive</Company>
  <LinksUpToDate>false</LinksUpToDate>
  <CharactersWithSpaces>2121</CharactersWithSpaces>
  <SharedDoc>false</SharedDoc>
  <HLinks>
    <vt:vector size="6" baseType="variant">
      <vt:variant>
        <vt:i4>5963820</vt:i4>
      </vt:variant>
      <vt:variant>
        <vt:i4>0</vt:i4>
      </vt:variant>
      <vt:variant>
        <vt:i4>0</vt:i4>
      </vt:variant>
      <vt:variant>
        <vt:i4>5</vt:i4>
      </vt:variant>
      <vt:variant>
        <vt:lpwstr>mailto:Alison.strath@gov.scot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and Medicines Division.dot</dc:title>
  <dc:subject>Health &amp; Social Care - Letterhead - Pharmacy and Medicines Division</dc:subject>
  <dc:creator>u059342</dc:creator>
  <cp:keywords>Health and Social Care - Letterhead - Pharmacy and Medicines Division</cp:keywords>
  <dc:description/>
  <cp:lastModifiedBy>Hendren, Sandra</cp:lastModifiedBy>
  <cp:revision>2</cp:revision>
  <cp:lastPrinted>2007-08-02T09:54:00Z</cp:lastPrinted>
  <dcterms:created xsi:type="dcterms:W3CDTF">2021-11-11T16:02:00Z</dcterms:created>
  <dcterms:modified xsi:type="dcterms:W3CDTF">2021-11-11T16:02:00Z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 </vt:lpwstr>
  </property>
</Properties>
</file>