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097FA" w14:textId="77777777" w:rsidR="005D3540" w:rsidRPr="005D3540" w:rsidRDefault="005D3540" w:rsidP="00B561C0">
      <w:pPr>
        <w:rPr>
          <w:rFonts w:cs="Arial"/>
          <w:b/>
          <w:szCs w:val="24"/>
          <w:u w:val="single"/>
        </w:rPr>
      </w:pPr>
      <w:bookmarkStart w:id="0" w:name="_GoBack"/>
      <w:bookmarkEnd w:id="0"/>
      <w:r w:rsidRPr="005D3540">
        <w:rPr>
          <w:rFonts w:cs="Arial"/>
          <w:b/>
          <w:szCs w:val="24"/>
          <w:u w:val="single"/>
        </w:rPr>
        <w:t xml:space="preserve">Bridging contraception in community pharmacies </w:t>
      </w:r>
    </w:p>
    <w:p w14:paraId="53906ADD" w14:textId="77777777" w:rsidR="005D3540" w:rsidRDefault="005D3540" w:rsidP="00B561C0">
      <w:pPr>
        <w:rPr>
          <w:rFonts w:cs="Arial"/>
          <w:b/>
          <w:szCs w:val="24"/>
        </w:rPr>
      </w:pPr>
    </w:p>
    <w:p w14:paraId="0B9AC732" w14:textId="2743152F" w:rsidR="00AA33BE" w:rsidRPr="0034147B" w:rsidRDefault="00AA33BE" w:rsidP="00B561C0">
      <w:pPr>
        <w:rPr>
          <w:rFonts w:cs="Arial"/>
          <w:b/>
          <w:szCs w:val="24"/>
          <w:u w:val="single"/>
        </w:rPr>
      </w:pPr>
      <w:r w:rsidRPr="0034147B">
        <w:rPr>
          <w:rFonts w:cs="Arial"/>
          <w:b/>
          <w:szCs w:val="24"/>
          <w:u w:val="single"/>
        </w:rPr>
        <w:t>Guidance for GP practices</w:t>
      </w:r>
    </w:p>
    <w:p w14:paraId="48D77E86" w14:textId="0E1DC41B" w:rsidR="0034147B" w:rsidRDefault="0034147B" w:rsidP="00B561C0">
      <w:pPr>
        <w:rPr>
          <w:rFonts w:cs="Arial"/>
          <w:szCs w:val="24"/>
          <w:u w:val="single"/>
        </w:rPr>
      </w:pPr>
    </w:p>
    <w:p w14:paraId="1B81E578" w14:textId="77777777" w:rsidR="005D3540" w:rsidRDefault="005D3540" w:rsidP="0034147B">
      <w:pPr>
        <w:rPr>
          <w:rFonts w:cs="Arial"/>
          <w:szCs w:val="24"/>
          <w:u w:val="single"/>
        </w:rPr>
      </w:pPr>
    </w:p>
    <w:p w14:paraId="3ADE838F" w14:textId="71F33D41" w:rsidR="0034147B" w:rsidRPr="0034147B" w:rsidRDefault="0034147B" w:rsidP="0034147B">
      <w:pPr>
        <w:rPr>
          <w:rFonts w:cs="Arial"/>
          <w:szCs w:val="24"/>
          <w:u w:val="single"/>
        </w:rPr>
      </w:pPr>
      <w:r w:rsidRPr="0034147B">
        <w:rPr>
          <w:rFonts w:cs="Arial"/>
          <w:szCs w:val="24"/>
          <w:u w:val="single"/>
        </w:rPr>
        <w:t>Executive summary</w:t>
      </w:r>
    </w:p>
    <w:p w14:paraId="0569D461" w14:textId="77777777" w:rsidR="0034147B" w:rsidRDefault="0034147B" w:rsidP="0034147B">
      <w:pPr>
        <w:rPr>
          <w:rFonts w:cs="Arial"/>
          <w:szCs w:val="24"/>
        </w:rPr>
      </w:pPr>
    </w:p>
    <w:p w14:paraId="48052F08" w14:textId="7846DEA6" w:rsidR="0034147B" w:rsidRDefault="0034147B" w:rsidP="0034147B">
      <w:pPr>
        <w:pStyle w:val="ListParagraph"/>
        <w:numPr>
          <w:ilvl w:val="0"/>
          <w:numId w:val="8"/>
        </w:numPr>
        <w:rPr>
          <w:rFonts w:cs="Arial"/>
          <w:szCs w:val="24"/>
        </w:rPr>
      </w:pPr>
      <w:r>
        <w:rPr>
          <w:rFonts w:cs="Arial"/>
          <w:szCs w:val="24"/>
        </w:rPr>
        <w:t>From 9</w:t>
      </w:r>
      <w:r w:rsidRPr="001C7A31">
        <w:rPr>
          <w:rFonts w:cs="Arial"/>
          <w:szCs w:val="24"/>
          <w:vertAlign w:val="superscript"/>
        </w:rPr>
        <w:t>th</w:t>
      </w:r>
      <w:r>
        <w:rPr>
          <w:rFonts w:cs="Arial"/>
          <w:szCs w:val="24"/>
        </w:rPr>
        <w:t xml:space="preserve"> November 2021, community phar</w:t>
      </w:r>
      <w:r w:rsidR="005D3540">
        <w:rPr>
          <w:rFonts w:cs="Arial"/>
          <w:szCs w:val="24"/>
        </w:rPr>
        <w:t>macies can supply a temporary 3 </w:t>
      </w:r>
      <w:r>
        <w:rPr>
          <w:rFonts w:cs="Arial"/>
          <w:szCs w:val="24"/>
        </w:rPr>
        <w:t>month supply of desogestrel as “bridging contraception”.</w:t>
      </w:r>
    </w:p>
    <w:p w14:paraId="09EA1CAD" w14:textId="77777777" w:rsidR="0034147B" w:rsidRDefault="0034147B" w:rsidP="0034147B">
      <w:pPr>
        <w:pStyle w:val="ListParagraph"/>
        <w:numPr>
          <w:ilvl w:val="0"/>
          <w:numId w:val="8"/>
        </w:numPr>
        <w:rPr>
          <w:rFonts w:cs="Arial"/>
          <w:szCs w:val="24"/>
        </w:rPr>
      </w:pPr>
      <w:r>
        <w:rPr>
          <w:rFonts w:cs="Arial"/>
          <w:szCs w:val="24"/>
        </w:rPr>
        <w:t>This service is not intended to replace existing services providing contraception, but to widen access and bridge the gap between EHC and longer term contraception, reducing the risk of unplanned pregnancy.</w:t>
      </w:r>
    </w:p>
    <w:p w14:paraId="755AD95C" w14:textId="77777777" w:rsidR="0034147B" w:rsidRDefault="0034147B" w:rsidP="0034147B">
      <w:pPr>
        <w:pStyle w:val="ListParagraph"/>
        <w:numPr>
          <w:ilvl w:val="0"/>
          <w:numId w:val="8"/>
        </w:numPr>
        <w:rPr>
          <w:rFonts w:cs="Arial"/>
          <w:szCs w:val="24"/>
        </w:rPr>
      </w:pPr>
      <w:r>
        <w:rPr>
          <w:rFonts w:cs="Arial"/>
          <w:szCs w:val="24"/>
        </w:rPr>
        <w:t>Available to individuals between 13 and 55 years of age, where clinically appropriate.</w:t>
      </w:r>
    </w:p>
    <w:p w14:paraId="39518752" w14:textId="77777777" w:rsidR="0034147B" w:rsidRPr="001C7A31" w:rsidRDefault="0034147B" w:rsidP="0034147B">
      <w:pPr>
        <w:pStyle w:val="ListParagraph"/>
        <w:numPr>
          <w:ilvl w:val="0"/>
          <w:numId w:val="8"/>
        </w:numPr>
        <w:rPr>
          <w:rFonts w:cs="Arial"/>
          <w:szCs w:val="24"/>
        </w:rPr>
      </w:pPr>
      <w:r>
        <w:rPr>
          <w:rFonts w:cs="Arial"/>
          <w:szCs w:val="24"/>
        </w:rPr>
        <w:t>Patient will be advised to contact their own GP practice / local Sexual Health Service for ongoing contraception following this supply.</w:t>
      </w:r>
    </w:p>
    <w:p w14:paraId="26F90917" w14:textId="77777777" w:rsidR="0034147B" w:rsidRDefault="0034147B" w:rsidP="00B561C0">
      <w:pPr>
        <w:rPr>
          <w:rFonts w:cs="Arial"/>
          <w:szCs w:val="24"/>
          <w:u w:val="single"/>
        </w:rPr>
      </w:pPr>
    </w:p>
    <w:p w14:paraId="4BD881F6" w14:textId="77777777" w:rsidR="002D290A" w:rsidRDefault="002D290A" w:rsidP="00B561C0">
      <w:pPr>
        <w:rPr>
          <w:rFonts w:cs="Arial"/>
          <w:szCs w:val="24"/>
          <w:u w:val="single"/>
        </w:rPr>
      </w:pPr>
    </w:p>
    <w:p w14:paraId="4BFE8811" w14:textId="77777777" w:rsidR="002D290A" w:rsidRDefault="002D290A" w:rsidP="00B561C0">
      <w:pPr>
        <w:rPr>
          <w:rFonts w:cs="Arial"/>
          <w:szCs w:val="24"/>
          <w:u w:val="single"/>
        </w:rPr>
      </w:pPr>
      <w:r>
        <w:rPr>
          <w:rFonts w:cs="Arial"/>
          <w:szCs w:val="24"/>
          <w:u w:val="single"/>
        </w:rPr>
        <w:t>Background</w:t>
      </w:r>
    </w:p>
    <w:p w14:paraId="7EB6DBDF" w14:textId="77777777" w:rsidR="002D290A" w:rsidRDefault="002D290A" w:rsidP="00B561C0">
      <w:pPr>
        <w:rPr>
          <w:rFonts w:cs="Arial"/>
          <w:szCs w:val="24"/>
          <w:u w:val="single"/>
        </w:rPr>
      </w:pPr>
    </w:p>
    <w:p w14:paraId="481E0933" w14:textId="702BC292" w:rsidR="002D290A" w:rsidRDefault="002D290A" w:rsidP="002D290A">
      <w:pPr>
        <w:autoSpaceDE w:val="0"/>
        <w:autoSpaceDN w:val="0"/>
        <w:adjustRightInd w:val="0"/>
        <w:rPr>
          <w:rFonts w:cs="Arial"/>
          <w:szCs w:val="24"/>
        </w:rPr>
      </w:pPr>
      <w:r w:rsidRPr="002D290A">
        <w:rPr>
          <w:rFonts w:cs="Arial"/>
          <w:szCs w:val="24"/>
        </w:rPr>
        <w:t xml:space="preserve">The Women’s Health Plan, published </w:t>
      </w:r>
      <w:r>
        <w:rPr>
          <w:rFonts w:cs="Arial"/>
          <w:szCs w:val="24"/>
        </w:rPr>
        <w:t xml:space="preserve">by the Scottish Government </w:t>
      </w:r>
      <w:r w:rsidRPr="002D290A">
        <w:rPr>
          <w:rFonts w:cs="Arial"/>
          <w:szCs w:val="24"/>
        </w:rPr>
        <w:t>in August 2021 include</w:t>
      </w:r>
      <w:r>
        <w:rPr>
          <w:rFonts w:cs="Arial"/>
          <w:szCs w:val="24"/>
        </w:rPr>
        <w:t>d</w:t>
      </w:r>
      <w:r w:rsidRPr="002D290A">
        <w:rPr>
          <w:rFonts w:cs="Arial"/>
          <w:szCs w:val="24"/>
        </w:rPr>
        <w:t xml:space="preserve"> a commitment to improve access to contraception services.  Research shows that across the UK 37% of women cannot access contraception services locally.</w:t>
      </w:r>
      <w:r w:rsidRPr="002D290A">
        <w:rPr>
          <w:rStyle w:val="FootnoteReference"/>
          <w:rFonts w:cs="Arial"/>
          <w:szCs w:val="24"/>
        </w:rPr>
        <w:footnoteReference w:id="1"/>
      </w:r>
      <w:r w:rsidR="005D3540">
        <w:rPr>
          <w:rFonts w:cs="Arial"/>
          <w:szCs w:val="24"/>
        </w:rPr>
        <w:t xml:space="preserve">  </w:t>
      </w:r>
      <w:r w:rsidR="005D3540">
        <w:t>In 2020, 13,815 terminations of pregnancy were recorded in Scotland (13.4 per 1000 women aged 15-44).</w:t>
      </w:r>
      <w:r w:rsidR="005D3540">
        <w:rPr>
          <w:rStyle w:val="FootnoteReference"/>
        </w:rPr>
        <w:footnoteReference w:id="2"/>
      </w:r>
    </w:p>
    <w:p w14:paraId="4BCE489A" w14:textId="77777777" w:rsidR="002D290A" w:rsidRDefault="002D290A" w:rsidP="002D290A">
      <w:pPr>
        <w:autoSpaceDE w:val="0"/>
        <w:autoSpaceDN w:val="0"/>
        <w:adjustRightInd w:val="0"/>
        <w:rPr>
          <w:rFonts w:cs="Arial"/>
          <w:szCs w:val="24"/>
        </w:rPr>
      </w:pPr>
    </w:p>
    <w:p w14:paraId="43C428F7" w14:textId="77777777" w:rsidR="002D290A" w:rsidRDefault="002D290A" w:rsidP="002D290A">
      <w:pPr>
        <w:autoSpaceDE w:val="0"/>
        <w:autoSpaceDN w:val="0"/>
        <w:adjustRightInd w:val="0"/>
        <w:rPr>
          <w:rFonts w:cs="Arial"/>
          <w:szCs w:val="24"/>
          <w:u w:val="single"/>
        </w:rPr>
      </w:pPr>
      <w:r w:rsidRPr="002D290A">
        <w:rPr>
          <w:rFonts w:cs="Arial"/>
          <w:szCs w:val="24"/>
          <w:u w:val="single"/>
        </w:rPr>
        <w:t>Bridging contraception in community pharmacies</w:t>
      </w:r>
    </w:p>
    <w:p w14:paraId="57647095" w14:textId="77777777" w:rsidR="002D290A" w:rsidRPr="002D290A" w:rsidRDefault="002D290A" w:rsidP="002D290A">
      <w:pPr>
        <w:rPr>
          <w:rFonts w:cs="Arial"/>
          <w:szCs w:val="24"/>
        </w:rPr>
      </w:pPr>
    </w:p>
    <w:p w14:paraId="433FF0B3" w14:textId="77777777" w:rsidR="00B21EA1" w:rsidRDefault="002D290A" w:rsidP="00B21EA1">
      <w:pPr>
        <w:rPr>
          <w:rFonts w:cs="Arial"/>
          <w:szCs w:val="24"/>
        </w:rPr>
      </w:pPr>
      <w:r w:rsidRPr="002D290A">
        <w:rPr>
          <w:rFonts w:cs="Arial"/>
          <w:szCs w:val="24"/>
        </w:rPr>
        <w:t>From 9</w:t>
      </w:r>
      <w:r w:rsidRPr="002D290A">
        <w:rPr>
          <w:rFonts w:cs="Arial"/>
          <w:szCs w:val="24"/>
          <w:vertAlign w:val="superscript"/>
        </w:rPr>
        <w:t>th</w:t>
      </w:r>
      <w:r w:rsidRPr="002D290A">
        <w:rPr>
          <w:rFonts w:cs="Arial"/>
          <w:szCs w:val="24"/>
        </w:rPr>
        <w:t xml:space="preserve"> November, community pharmacies will be able to offer individuals a temporary 3-month supply of desogestrel (progestogen-only pill) during</w:t>
      </w:r>
      <w:r>
        <w:rPr>
          <w:rFonts w:cs="Arial"/>
          <w:szCs w:val="24"/>
        </w:rPr>
        <w:t xml:space="preserve"> an EHC consultation, if clinically appropriate to do so.  They will also be able to offer a </w:t>
      </w:r>
      <w:r w:rsidR="00F23BA5">
        <w:rPr>
          <w:rFonts w:cs="Arial"/>
          <w:szCs w:val="24"/>
        </w:rPr>
        <w:t xml:space="preserve">temporary </w:t>
      </w:r>
      <w:r>
        <w:rPr>
          <w:rFonts w:cs="Arial"/>
          <w:szCs w:val="24"/>
        </w:rPr>
        <w:t>supply out</w:t>
      </w:r>
      <w:r w:rsidR="005C0F27">
        <w:rPr>
          <w:rFonts w:cs="Arial"/>
          <w:szCs w:val="24"/>
        </w:rPr>
        <w:t xml:space="preserve"> </w:t>
      </w:r>
      <w:r>
        <w:rPr>
          <w:rFonts w:cs="Arial"/>
          <w:szCs w:val="24"/>
        </w:rPr>
        <w:t>with EHC consultations, if an individual requests advice and a supply of contraception.</w:t>
      </w:r>
    </w:p>
    <w:p w14:paraId="0701E470" w14:textId="77777777" w:rsidR="00B21EA1" w:rsidRDefault="00B21EA1" w:rsidP="00B21EA1">
      <w:pPr>
        <w:rPr>
          <w:rFonts w:cs="Arial"/>
          <w:szCs w:val="24"/>
        </w:rPr>
      </w:pPr>
    </w:p>
    <w:p w14:paraId="6EA55541" w14:textId="0AD010EB" w:rsidR="00B21EA1" w:rsidRDefault="00B21EA1" w:rsidP="00B21EA1">
      <w:pPr>
        <w:rPr>
          <w:rFonts w:cs="Arial"/>
          <w:szCs w:val="24"/>
        </w:rPr>
      </w:pPr>
      <w:r w:rsidRPr="002D290A">
        <w:rPr>
          <w:rFonts w:cs="Arial"/>
          <w:szCs w:val="24"/>
        </w:rPr>
        <w:t xml:space="preserve">This approach is </w:t>
      </w:r>
      <w:r>
        <w:rPr>
          <w:rFonts w:cs="Arial"/>
          <w:szCs w:val="24"/>
        </w:rPr>
        <w:t xml:space="preserve">not intended to replace existing services currently providing contraception, but is </w:t>
      </w:r>
      <w:r w:rsidRPr="002D290A">
        <w:rPr>
          <w:rFonts w:cs="Arial"/>
          <w:szCs w:val="24"/>
        </w:rPr>
        <w:t>to widen access and bridge the gap between EHC and use of longer term contraception</w:t>
      </w:r>
      <w:r w:rsidR="005C0F27">
        <w:rPr>
          <w:rFonts w:cs="Arial"/>
          <w:szCs w:val="24"/>
        </w:rPr>
        <w:t>, therefore minimising the risk of unplanned pregnancy</w:t>
      </w:r>
    </w:p>
    <w:p w14:paraId="57C4A422" w14:textId="77777777" w:rsidR="00B21EA1" w:rsidRDefault="00B21EA1" w:rsidP="00B21EA1">
      <w:pPr>
        <w:rPr>
          <w:rFonts w:cs="Arial"/>
          <w:szCs w:val="24"/>
        </w:rPr>
      </w:pPr>
    </w:p>
    <w:p w14:paraId="2DD9A091" w14:textId="77777777" w:rsidR="00B21EA1" w:rsidRPr="002D290A" w:rsidRDefault="00B21EA1" w:rsidP="00B21EA1">
      <w:pPr>
        <w:autoSpaceDE w:val="0"/>
        <w:autoSpaceDN w:val="0"/>
        <w:adjustRightInd w:val="0"/>
        <w:rPr>
          <w:rFonts w:cs="Arial"/>
          <w:szCs w:val="24"/>
          <w:u w:val="single"/>
        </w:rPr>
      </w:pPr>
      <w:r>
        <w:rPr>
          <w:rFonts w:cs="Arial"/>
          <w:szCs w:val="24"/>
          <w:u w:val="single"/>
        </w:rPr>
        <w:t>Patient eligibility</w:t>
      </w:r>
    </w:p>
    <w:p w14:paraId="10F1A9F4" w14:textId="77777777" w:rsidR="00B21EA1" w:rsidRDefault="00B21EA1" w:rsidP="00B21EA1">
      <w:pPr>
        <w:rPr>
          <w:rFonts w:cs="Arial"/>
          <w:szCs w:val="24"/>
        </w:rPr>
      </w:pPr>
    </w:p>
    <w:p w14:paraId="2211AFDD" w14:textId="77777777" w:rsidR="00B21EA1" w:rsidRPr="00952D34" w:rsidRDefault="002D290A" w:rsidP="00B21EA1">
      <w:pPr>
        <w:rPr>
          <w:rFonts w:cs="Arial"/>
          <w:szCs w:val="24"/>
        </w:rPr>
      </w:pPr>
      <w:r>
        <w:rPr>
          <w:rFonts w:cs="Arial"/>
          <w:szCs w:val="24"/>
        </w:rPr>
        <w:t xml:space="preserve">This service </w:t>
      </w:r>
      <w:r w:rsidR="00B21EA1">
        <w:rPr>
          <w:rFonts w:cs="Arial"/>
          <w:szCs w:val="24"/>
        </w:rPr>
        <w:t>is</w:t>
      </w:r>
      <w:r>
        <w:rPr>
          <w:rFonts w:cs="Arial"/>
          <w:szCs w:val="24"/>
        </w:rPr>
        <w:t xml:space="preserve"> available to individuals </w:t>
      </w:r>
      <w:r w:rsidR="00B21EA1" w:rsidRPr="00711F83">
        <w:rPr>
          <w:rFonts w:cs="Arial"/>
          <w:color w:val="000000"/>
          <w:szCs w:val="24"/>
        </w:rPr>
        <w:t xml:space="preserve">aged </w:t>
      </w:r>
      <w:r w:rsidR="00B21EA1" w:rsidRPr="00711F83">
        <w:rPr>
          <w:rFonts w:cs="Arial"/>
          <w:szCs w:val="24"/>
        </w:rPr>
        <w:t xml:space="preserve">over 13 years and under 55 years </w:t>
      </w:r>
      <w:r w:rsidR="00B21EA1" w:rsidRPr="00711F83">
        <w:rPr>
          <w:rFonts w:cs="Arial"/>
          <w:color w:val="000000"/>
          <w:szCs w:val="24"/>
        </w:rPr>
        <w:t>at risk of pregnancy</w:t>
      </w:r>
      <w:r w:rsidR="00F23BA5">
        <w:rPr>
          <w:rFonts w:cs="Arial"/>
          <w:color w:val="000000"/>
          <w:szCs w:val="24"/>
        </w:rPr>
        <w:t>, if clinically appropriate</w:t>
      </w:r>
      <w:r w:rsidR="00B21EA1" w:rsidRPr="00711F83">
        <w:rPr>
          <w:rFonts w:cs="Arial"/>
          <w:color w:val="000000"/>
          <w:szCs w:val="24"/>
        </w:rPr>
        <w:t xml:space="preserve">. </w:t>
      </w:r>
      <w:r w:rsidR="00B21EA1" w:rsidRPr="00711F83">
        <w:rPr>
          <w:rFonts w:cs="Arial"/>
          <w:szCs w:val="24"/>
        </w:rPr>
        <w:t>The person must also be registered with a GP practice in Scotland.</w:t>
      </w:r>
    </w:p>
    <w:p w14:paraId="1B9469EF" w14:textId="77777777" w:rsidR="002D290A" w:rsidRDefault="002D290A" w:rsidP="002D290A">
      <w:pPr>
        <w:rPr>
          <w:rFonts w:cs="Arial"/>
          <w:szCs w:val="24"/>
        </w:rPr>
      </w:pPr>
    </w:p>
    <w:p w14:paraId="1F762113" w14:textId="77777777" w:rsidR="005D3540" w:rsidRDefault="005D3540" w:rsidP="00B21EA1">
      <w:pPr>
        <w:autoSpaceDE w:val="0"/>
        <w:autoSpaceDN w:val="0"/>
        <w:adjustRightInd w:val="0"/>
        <w:rPr>
          <w:rFonts w:cs="Arial"/>
          <w:szCs w:val="24"/>
          <w:u w:val="single"/>
        </w:rPr>
      </w:pPr>
    </w:p>
    <w:p w14:paraId="48A31487" w14:textId="77777777" w:rsidR="005D3540" w:rsidRDefault="005D3540" w:rsidP="00B21EA1">
      <w:pPr>
        <w:autoSpaceDE w:val="0"/>
        <w:autoSpaceDN w:val="0"/>
        <w:adjustRightInd w:val="0"/>
        <w:rPr>
          <w:rFonts w:cs="Arial"/>
          <w:szCs w:val="24"/>
          <w:u w:val="single"/>
        </w:rPr>
      </w:pPr>
    </w:p>
    <w:p w14:paraId="27B0B597" w14:textId="11DF8FFA" w:rsidR="00B21EA1" w:rsidRPr="002D290A" w:rsidRDefault="00B21EA1" w:rsidP="00B21EA1">
      <w:pPr>
        <w:autoSpaceDE w:val="0"/>
        <w:autoSpaceDN w:val="0"/>
        <w:adjustRightInd w:val="0"/>
        <w:rPr>
          <w:rFonts w:cs="Arial"/>
          <w:szCs w:val="24"/>
          <w:u w:val="single"/>
        </w:rPr>
      </w:pPr>
      <w:r>
        <w:rPr>
          <w:rFonts w:cs="Arial"/>
          <w:szCs w:val="24"/>
          <w:u w:val="single"/>
        </w:rPr>
        <w:t>Product supplied</w:t>
      </w:r>
    </w:p>
    <w:p w14:paraId="41332B6F" w14:textId="77777777" w:rsidR="00B21EA1" w:rsidRDefault="00B21EA1" w:rsidP="00B21EA1">
      <w:pPr>
        <w:rPr>
          <w:rFonts w:cs="Arial"/>
        </w:rPr>
      </w:pPr>
    </w:p>
    <w:p w14:paraId="63162966" w14:textId="77777777" w:rsidR="00B21EA1" w:rsidRPr="00B21EA1" w:rsidRDefault="002D290A" w:rsidP="00B21EA1">
      <w:pPr>
        <w:rPr>
          <w:rFonts w:cs="Arial"/>
          <w:szCs w:val="24"/>
        </w:rPr>
      </w:pPr>
      <w:r>
        <w:rPr>
          <w:rFonts w:cs="Arial"/>
        </w:rPr>
        <w:t xml:space="preserve">A national </w:t>
      </w:r>
      <w:r>
        <w:rPr>
          <w:rFonts w:cs="Arial"/>
          <w:szCs w:val="24"/>
        </w:rPr>
        <w:t>Patient Group Direction</w:t>
      </w:r>
      <w:r>
        <w:rPr>
          <w:rFonts w:cs="Arial"/>
        </w:rPr>
        <w:t xml:space="preserve"> </w:t>
      </w:r>
      <w:r w:rsidR="00B21EA1">
        <w:rPr>
          <w:rFonts w:cs="Arial"/>
        </w:rPr>
        <w:t>(</w:t>
      </w:r>
      <w:r>
        <w:rPr>
          <w:rFonts w:cs="Arial"/>
        </w:rPr>
        <w:t>PGD</w:t>
      </w:r>
      <w:r w:rsidR="00B21EA1">
        <w:rPr>
          <w:rFonts w:cs="Arial"/>
        </w:rPr>
        <w:t>)</w:t>
      </w:r>
      <w:r>
        <w:rPr>
          <w:rFonts w:cs="Arial"/>
        </w:rPr>
        <w:t xml:space="preserve"> has been developed for </w:t>
      </w:r>
      <w:r>
        <w:rPr>
          <w:rFonts w:cs="Arial"/>
          <w:szCs w:val="24"/>
        </w:rPr>
        <w:t xml:space="preserve">the supply of desogestrel </w:t>
      </w:r>
      <w:r w:rsidR="00B21EA1">
        <w:rPr>
          <w:rFonts w:cs="Arial"/>
          <w:szCs w:val="24"/>
        </w:rPr>
        <w:t xml:space="preserve">POM pack </w:t>
      </w:r>
      <w:r>
        <w:rPr>
          <w:rFonts w:cs="Arial"/>
          <w:szCs w:val="24"/>
        </w:rPr>
        <w:t>by community pharmacists.</w:t>
      </w:r>
      <w:r w:rsidR="00B21EA1">
        <w:rPr>
          <w:rFonts w:cs="Arial"/>
          <w:szCs w:val="24"/>
        </w:rPr>
        <w:t xml:space="preserve">  </w:t>
      </w:r>
      <w:r w:rsidR="00B21EA1" w:rsidRPr="00952D34">
        <w:rPr>
          <w:rFonts w:cs="Arial"/>
          <w:color w:val="000000"/>
          <w:szCs w:val="24"/>
        </w:rPr>
        <w:t>In accordance with the PGD, the pharmacist can supply:</w:t>
      </w:r>
    </w:p>
    <w:p w14:paraId="643F135B" w14:textId="77777777" w:rsidR="00B21EA1" w:rsidRPr="00952D34" w:rsidRDefault="00B21EA1" w:rsidP="00B21EA1">
      <w:pPr>
        <w:autoSpaceDE w:val="0"/>
        <w:autoSpaceDN w:val="0"/>
        <w:adjustRightInd w:val="0"/>
        <w:ind w:left="720"/>
        <w:rPr>
          <w:rFonts w:cs="Arial"/>
          <w:color w:val="000000"/>
          <w:szCs w:val="24"/>
        </w:rPr>
      </w:pPr>
    </w:p>
    <w:p w14:paraId="62D67A13" w14:textId="77777777" w:rsidR="00B21EA1" w:rsidRPr="00952D34" w:rsidRDefault="00B21EA1" w:rsidP="00B21EA1">
      <w:pPr>
        <w:pStyle w:val="ListParagraph"/>
        <w:numPr>
          <w:ilvl w:val="0"/>
          <w:numId w:val="7"/>
        </w:numPr>
        <w:autoSpaceDE w:val="0"/>
        <w:autoSpaceDN w:val="0"/>
        <w:adjustRightInd w:val="0"/>
        <w:rPr>
          <w:rFonts w:cs="Arial"/>
          <w:color w:val="000000"/>
          <w:szCs w:val="24"/>
        </w:rPr>
      </w:pPr>
      <w:r w:rsidRPr="00952D34">
        <w:rPr>
          <w:rFonts w:cs="Arial"/>
          <w:color w:val="000000"/>
          <w:szCs w:val="24"/>
        </w:rPr>
        <w:t>a 3 month supply of desogestrel 75 microgram Film-coated Tablets,</w:t>
      </w:r>
      <w:r w:rsidRPr="00952D34">
        <w:rPr>
          <w:rFonts w:cs="Arial"/>
          <w:szCs w:val="24"/>
        </w:rPr>
        <w:t xml:space="preserve"> 84 tablets (3 x 28)</w:t>
      </w:r>
    </w:p>
    <w:p w14:paraId="591619F2" w14:textId="77777777" w:rsidR="00B21EA1" w:rsidRDefault="00B21EA1" w:rsidP="002D290A">
      <w:pPr>
        <w:rPr>
          <w:rFonts w:cs="Arial"/>
          <w:szCs w:val="24"/>
        </w:rPr>
      </w:pPr>
    </w:p>
    <w:p w14:paraId="3FEE3A19" w14:textId="6B25B9A5" w:rsidR="00B21EA1" w:rsidRDefault="00B21EA1" w:rsidP="002D290A">
      <w:pPr>
        <w:rPr>
          <w:rFonts w:cs="Arial"/>
          <w:color w:val="000000"/>
          <w:szCs w:val="24"/>
        </w:rPr>
      </w:pPr>
      <w:r w:rsidRPr="00952D34">
        <w:rPr>
          <w:rFonts w:cs="Arial"/>
          <w:color w:val="000000"/>
          <w:szCs w:val="24"/>
        </w:rPr>
        <w:t xml:space="preserve">Using the PGD and </w:t>
      </w:r>
      <w:r>
        <w:rPr>
          <w:rFonts w:cs="Arial"/>
          <w:color w:val="000000"/>
          <w:szCs w:val="24"/>
        </w:rPr>
        <w:t xml:space="preserve">a </w:t>
      </w:r>
      <w:r w:rsidRPr="00952D34">
        <w:rPr>
          <w:rFonts w:cs="Arial"/>
          <w:color w:val="000000"/>
          <w:szCs w:val="24"/>
        </w:rPr>
        <w:t xml:space="preserve">proforma questionnaire, the pharmacist takes a </w:t>
      </w:r>
      <w:r w:rsidR="005A0EC8">
        <w:rPr>
          <w:rFonts w:cs="Arial"/>
          <w:color w:val="000000"/>
          <w:szCs w:val="24"/>
        </w:rPr>
        <w:t>patient</w:t>
      </w:r>
      <w:r w:rsidR="005A0EC8" w:rsidRPr="00952D34">
        <w:rPr>
          <w:rFonts w:cs="Arial"/>
          <w:color w:val="000000"/>
          <w:szCs w:val="24"/>
        </w:rPr>
        <w:t xml:space="preserve"> </w:t>
      </w:r>
      <w:r w:rsidRPr="00952D34">
        <w:rPr>
          <w:rFonts w:cs="Arial"/>
          <w:color w:val="000000"/>
          <w:szCs w:val="24"/>
        </w:rPr>
        <w:t>history to ensure that they have sufficient information to assess the appropriateness of the supply.</w:t>
      </w:r>
    </w:p>
    <w:p w14:paraId="31379B1D" w14:textId="77777777" w:rsidR="00B21EA1" w:rsidRDefault="00B21EA1" w:rsidP="002D290A">
      <w:pPr>
        <w:rPr>
          <w:rFonts w:cs="Arial"/>
          <w:color w:val="000000"/>
          <w:szCs w:val="24"/>
        </w:rPr>
      </w:pPr>
    </w:p>
    <w:p w14:paraId="3D466CB2" w14:textId="11E6D828" w:rsidR="00B21EA1" w:rsidRDefault="00B21EA1" w:rsidP="002D290A">
      <w:pPr>
        <w:rPr>
          <w:rFonts w:cs="Arial"/>
          <w:color w:val="000000"/>
          <w:szCs w:val="24"/>
        </w:rPr>
      </w:pPr>
      <w:r>
        <w:rPr>
          <w:rFonts w:cs="Arial"/>
          <w:color w:val="000000"/>
          <w:szCs w:val="24"/>
        </w:rPr>
        <w:t>P</w:t>
      </w:r>
      <w:r w:rsidRPr="00952D34">
        <w:rPr>
          <w:rFonts w:cs="Arial"/>
          <w:color w:val="000000"/>
          <w:szCs w:val="24"/>
        </w:rPr>
        <w:t>harmacist</w:t>
      </w:r>
      <w:r>
        <w:rPr>
          <w:rFonts w:cs="Arial"/>
          <w:color w:val="000000"/>
          <w:szCs w:val="24"/>
        </w:rPr>
        <w:t>s</w:t>
      </w:r>
      <w:r w:rsidRPr="00952D34">
        <w:rPr>
          <w:rFonts w:cs="Arial"/>
          <w:color w:val="000000"/>
          <w:szCs w:val="24"/>
        </w:rPr>
        <w:t xml:space="preserve"> must ensure, where appropriate, that the </w:t>
      </w:r>
      <w:r w:rsidR="005A0EC8">
        <w:rPr>
          <w:rFonts w:cs="Arial"/>
          <w:color w:val="000000"/>
          <w:szCs w:val="24"/>
        </w:rPr>
        <w:t>patient</w:t>
      </w:r>
      <w:r w:rsidR="005A0EC8" w:rsidRPr="00952D34">
        <w:rPr>
          <w:rFonts w:cs="Arial"/>
          <w:color w:val="000000"/>
          <w:szCs w:val="24"/>
        </w:rPr>
        <w:t xml:space="preserve"> </w:t>
      </w:r>
      <w:r w:rsidRPr="00952D34">
        <w:rPr>
          <w:rFonts w:cs="Arial"/>
          <w:color w:val="000000"/>
          <w:szCs w:val="24"/>
        </w:rPr>
        <w:t>is signposted to</w:t>
      </w:r>
      <w:r w:rsidR="00C8283E">
        <w:rPr>
          <w:rFonts w:cs="Arial"/>
          <w:color w:val="000000"/>
          <w:szCs w:val="24"/>
        </w:rPr>
        <w:t xml:space="preserve"> information on</w:t>
      </w:r>
      <w:r w:rsidRPr="00952D34">
        <w:rPr>
          <w:rFonts w:cs="Arial"/>
          <w:color w:val="000000"/>
          <w:szCs w:val="24"/>
        </w:rPr>
        <w:t xml:space="preserve"> other sexual and reproductive health matters and related topics, including the promotion of long-acting contraception and the prevention and screening of sexually transmitted infections.</w:t>
      </w:r>
    </w:p>
    <w:p w14:paraId="25335022" w14:textId="59638B90" w:rsidR="0011478A" w:rsidRDefault="0011478A">
      <w:pPr>
        <w:rPr>
          <w:rFonts w:cs="Arial"/>
          <w:color w:val="000000"/>
          <w:szCs w:val="24"/>
        </w:rPr>
      </w:pPr>
    </w:p>
    <w:p w14:paraId="5AEE073A" w14:textId="789815D5" w:rsidR="0034147B" w:rsidRDefault="0034147B">
      <w:pPr>
        <w:rPr>
          <w:rFonts w:cs="Arial"/>
          <w:color w:val="000000"/>
          <w:szCs w:val="24"/>
        </w:rPr>
      </w:pPr>
    </w:p>
    <w:p w14:paraId="0269D76E" w14:textId="2934E082" w:rsidR="00B21EA1" w:rsidRDefault="00B21EA1" w:rsidP="00B21EA1">
      <w:pPr>
        <w:autoSpaceDE w:val="0"/>
        <w:autoSpaceDN w:val="0"/>
        <w:adjustRightInd w:val="0"/>
        <w:rPr>
          <w:rFonts w:cs="Arial"/>
          <w:szCs w:val="24"/>
          <w:u w:val="single"/>
        </w:rPr>
      </w:pPr>
      <w:r>
        <w:rPr>
          <w:rFonts w:cs="Arial"/>
          <w:szCs w:val="24"/>
          <w:u w:val="single"/>
        </w:rPr>
        <w:t>Service procedure</w:t>
      </w:r>
    </w:p>
    <w:p w14:paraId="317A4A83" w14:textId="77777777" w:rsidR="00B21EA1" w:rsidRDefault="00B21EA1" w:rsidP="00B21EA1">
      <w:pPr>
        <w:autoSpaceDE w:val="0"/>
        <w:autoSpaceDN w:val="0"/>
        <w:adjustRightInd w:val="0"/>
        <w:rPr>
          <w:rFonts w:cs="Arial"/>
          <w:szCs w:val="24"/>
          <w:u w:val="single"/>
        </w:rPr>
      </w:pPr>
    </w:p>
    <w:p w14:paraId="3B895C3C" w14:textId="77777777" w:rsidR="00B21EA1" w:rsidRDefault="00B21EA1" w:rsidP="00B21EA1">
      <w:pPr>
        <w:autoSpaceDE w:val="0"/>
        <w:autoSpaceDN w:val="0"/>
        <w:adjustRightInd w:val="0"/>
        <w:rPr>
          <w:rFonts w:cs="Arial"/>
          <w:szCs w:val="24"/>
          <w:u w:val="single"/>
        </w:rPr>
      </w:pPr>
      <w:r>
        <w:rPr>
          <w:rFonts w:cs="Arial"/>
          <w:color w:val="000000"/>
          <w:szCs w:val="24"/>
        </w:rPr>
        <w:t>Pharmacists follow</w:t>
      </w:r>
      <w:r w:rsidRPr="00952D34">
        <w:rPr>
          <w:rFonts w:cs="Arial"/>
          <w:color w:val="000000"/>
          <w:szCs w:val="24"/>
        </w:rPr>
        <w:t xml:space="preserve"> the procedure detailed below:  </w:t>
      </w:r>
    </w:p>
    <w:p w14:paraId="1FA42FB5" w14:textId="77777777" w:rsidR="00B21EA1" w:rsidRDefault="00B21EA1" w:rsidP="00B21EA1">
      <w:pPr>
        <w:autoSpaceDE w:val="0"/>
        <w:autoSpaceDN w:val="0"/>
        <w:adjustRightInd w:val="0"/>
        <w:rPr>
          <w:rFonts w:cs="Arial"/>
          <w:szCs w:val="24"/>
          <w:u w:val="single"/>
        </w:rPr>
      </w:pPr>
    </w:p>
    <w:p w14:paraId="78C6F849" w14:textId="77777777" w:rsidR="00B21EA1" w:rsidRDefault="00B21EA1" w:rsidP="00B21EA1">
      <w:pPr>
        <w:autoSpaceDE w:val="0"/>
        <w:autoSpaceDN w:val="0"/>
        <w:adjustRightInd w:val="0"/>
        <w:rPr>
          <w:rFonts w:cs="Arial"/>
          <w:szCs w:val="24"/>
          <w:u w:val="single"/>
        </w:rPr>
      </w:pPr>
      <w:r w:rsidRPr="00952D34">
        <w:rPr>
          <w:rFonts w:cs="Arial"/>
          <w:color w:val="000000"/>
          <w:szCs w:val="24"/>
          <w:u w:val="single"/>
        </w:rPr>
        <w:t>a) Supply following an EHC consultation</w:t>
      </w:r>
    </w:p>
    <w:p w14:paraId="042FF7F1" w14:textId="77777777" w:rsidR="00B21EA1" w:rsidRDefault="00B21EA1" w:rsidP="00B21EA1">
      <w:pPr>
        <w:autoSpaceDE w:val="0"/>
        <w:autoSpaceDN w:val="0"/>
        <w:adjustRightInd w:val="0"/>
        <w:rPr>
          <w:rFonts w:cs="Arial"/>
          <w:szCs w:val="24"/>
          <w:u w:val="single"/>
        </w:rPr>
      </w:pPr>
    </w:p>
    <w:p w14:paraId="3F478FEC" w14:textId="5A6E86BC" w:rsidR="00B21EA1" w:rsidRPr="00B21EA1" w:rsidRDefault="00B21EA1" w:rsidP="00B21EA1">
      <w:pPr>
        <w:pStyle w:val="ListParagraph"/>
        <w:numPr>
          <w:ilvl w:val="0"/>
          <w:numId w:val="7"/>
        </w:numPr>
        <w:autoSpaceDE w:val="0"/>
        <w:autoSpaceDN w:val="0"/>
        <w:adjustRightInd w:val="0"/>
        <w:rPr>
          <w:rFonts w:cs="Arial"/>
          <w:szCs w:val="24"/>
          <w:u w:val="single"/>
        </w:rPr>
      </w:pPr>
      <w:r w:rsidRPr="00B21EA1">
        <w:rPr>
          <w:rFonts w:cs="Arial"/>
          <w:color w:val="000000"/>
          <w:szCs w:val="24"/>
        </w:rPr>
        <w:t xml:space="preserve">Following on directly from an EHC consultation, the pharmacist informs the </w:t>
      </w:r>
      <w:r w:rsidR="00C8283E">
        <w:rPr>
          <w:rFonts w:cs="Arial"/>
          <w:color w:val="000000"/>
          <w:szCs w:val="24"/>
        </w:rPr>
        <w:t>patient</w:t>
      </w:r>
      <w:r w:rsidR="00C8283E" w:rsidRPr="00B21EA1">
        <w:rPr>
          <w:rFonts w:cs="Arial"/>
          <w:color w:val="000000"/>
          <w:szCs w:val="24"/>
        </w:rPr>
        <w:t xml:space="preserve"> </w:t>
      </w:r>
      <w:r w:rsidRPr="00B21EA1">
        <w:rPr>
          <w:rFonts w:cs="Arial"/>
          <w:color w:val="000000"/>
          <w:szCs w:val="24"/>
        </w:rPr>
        <w:t xml:space="preserve">of the availability of bridging contraception and, using the PGD and desogestrel proforma questionnaire, establishes whether a 3 month supply of desogestrel would be appropriate.  This consultation should use the </w:t>
      </w:r>
      <w:r w:rsidR="00C8283E">
        <w:rPr>
          <w:rFonts w:cs="Arial"/>
          <w:color w:val="000000"/>
          <w:szCs w:val="24"/>
        </w:rPr>
        <w:t>patient</w:t>
      </w:r>
      <w:r w:rsidR="00C8283E" w:rsidRPr="00B21EA1">
        <w:rPr>
          <w:rFonts w:cs="Arial"/>
          <w:color w:val="000000"/>
          <w:szCs w:val="24"/>
        </w:rPr>
        <w:t xml:space="preserve"> </w:t>
      </w:r>
      <w:r w:rsidRPr="00B21EA1">
        <w:rPr>
          <w:rFonts w:cs="Arial"/>
          <w:color w:val="000000"/>
          <w:szCs w:val="24"/>
        </w:rPr>
        <w:t xml:space="preserve">history taken during the EHC consultation and consider any contra-indications, previous use and current medication to ensure the supply is safe and appropriate. </w:t>
      </w:r>
    </w:p>
    <w:p w14:paraId="3769337E" w14:textId="77777777" w:rsidR="00B21EA1" w:rsidRPr="00952D34" w:rsidRDefault="00B21EA1" w:rsidP="00B21EA1">
      <w:pPr>
        <w:tabs>
          <w:tab w:val="left" w:pos="1276"/>
        </w:tabs>
        <w:autoSpaceDE w:val="0"/>
        <w:autoSpaceDN w:val="0"/>
        <w:adjustRightInd w:val="0"/>
        <w:ind w:left="1080"/>
        <w:rPr>
          <w:rFonts w:cs="Arial"/>
          <w:color w:val="000000"/>
          <w:szCs w:val="24"/>
        </w:rPr>
      </w:pPr>
    </w:p>
    <w:p w14:paraId="59E92BAF" w14:textId="5DA8F3F8" w:rsidR="00B21EA1" w:rsidRPr="00952D34" w:rsidRDefault="00B21EA1" w:rsidP="00B21EA1">
      <w:pPr>
        <w:numPr>
          <w:ilvl w:val="0"/>
          <w:numId w:val="8"/>
        </w:numPr>
        <w:tabs>
          <w:tab w:val="left" w:pos="1276"/>
          <w:tab w:val="left" w:pos="1440"/>
          <w:tab w:val="left" w:pos="2160"/>
          <w:tab w:val="left" w:pos="2880"/>
          <w:tab w:val="left" w:pos="4680"/>
          <w:tab w:val="left" w:pos="5400"/>
          <w:tab w:val="right" w:pos="9000"/>
        </w:tabs>
        <w:autoSpaceDE w:val="0"/>
        <w:autoSpaceDN w:val="0"/>
        <w:adjustRightInd w:val="0"/>
        <w:ind w:left="1080"/>
        <w:jc w:val="both"/>
        <w:rPr>
          <w:rFonts w:cs="Arial"/>
          <w:color w:val="000000"/>
          <w:szCs w:val="24"/>
        </w:rPr>
      </w:pPr>
      <w:r w:rsidRPr="00952D34">
        <w:rPr>
          <w:rFonts w:cs="Arial"/>
          <w:color w:val="000000"/>
          <w:szCs w:val="24"/>
        </w:rPr>
        <w:t xml:space="preserve">The </w:t>
      </w:r>
      <w:r w:rsidR="00C8283E">
        <w:rPr>
          <w:rFonts w:cs="Arial"/>
          <w:color w:val="000000"/>
          <w:szCs w:val="24"/>
        </w:rPr>
        <w:t>patient</w:t>
      </w:r>
      <w:r w:rsidR="00C8283E" w:rsidRPr="00952D34">
        <w:rPr>
          <w:rFonts w:cs="Arial"/>
          <w:color w:val="000000"/>
          <w:szCs w:val="24"/>
        </w:rPr>
        <w:t xml:space="preserve"> </w:t>
      </w:r>
      <w:r w:rsidRPr="00952D34">
        <w:rPr>
          <w:rFonts w:cs="Arial"/>
          <w:color w:val="000000"/>
          <w:szCs w:val="24"/>
        </w:rPr>
        <w:t xml:space="preserve">is counselled on the use of desogestrel and advised at what point following EHC the desogestrel should be taken.  This will vary depending whether the EHC supply is levonorgestrel or ulipristal acetate. </w:t>
      </w:r>
    </w:p>
    <w:p w14:paraId="25F5529F" w14:textId="7C6B1284" w:rsidR="00B21EA1" w:rsidRPr="00952D34" w:rsidRDefault="00B21EA1" w:rsidP="00B21EA1">
      <w:pPr>
        <w:tabs>
          <w:tab w:val="left" w:pos="1276"/>
        </w:tabs>
        <w:autoSpaceDE w:val="0"/>
        <w:autoSpaceDN w:val="0"/>
        <w:adjustRightInd w:val="0"/>
        <w:ind w:left="720"/>
        <w:rPr>
          <w:rFonts w:cs="Arial"/>
          <w:color w:val="000000"/>
          <w:szCs w:val="24"/>
        </w:rPr>
      </w:pPr>
    </w:p>
    <w:p w14:paraId="4F6F6CF6" w14:textId="77777777" w:rsidR="00B21EA1" w:rsidRPr="00952D34" w:rsidRDefault="00B21EA1" w:rsidP="00B21EA1">
      <w:pPr>
        <w:tabs>
          <w:tab w:val="left" w:pos="1276"/>
        </w:tabs>
        <w:autoSpaceDE w:val="0"/>
        <w:autoSpaceDN w:val="0"/>
        <w:adjustRightInd w:val="0"/>
        <w:rPr>
          <w:rFonts w:cs="Arial"/>
          <w:color w:val="000000"/>
          <w:szCs w:val="24"/>
          <w:u w:val="single"/>
        </w:rPr>
      </w:pPr>
      <w:r w:rsidRPr="00952D34">
        <w:rPr>
          <w:rFonts w:cs="Arial"/>
          <w:color w:val="000000"/>
          <w:szCs w:val="24"/>
          <w:u w:val="single"/>
        </w:rPr>
        <w:t xml:space="preserve">b) Standalone supply </w:t>
      </w:r>
      <w:r>
        <w:rPr>
          <w:rFonts w:cs="Arial"/>
          <w:color w:val="000000"/>
          <w:szCs w:val="24"/>
          <w:u w:val="single"/>
        </w:rPr>
        <w:t>– where no EHC consultation is required</w:t>
      </w:r>
    </w:p>
    <w:p w14:paraId="00B3F2FC" w14:textId="77777777" w:rsidR="00B21EA1" w:rsidRPr="00952D34" w:rsidRDefault="00B21EA1" w:rsidP="00B21EA1">
      <w:pPr>
        <w:tabs>
          <w:tab w:val="left" w:pos="1276"/>
        </w:tabs>
        <w:autoSpaceDE w:val="0"/>
        <w:autoSpaceDN w:val="0"/>
        <w:adjustRightInd w:val="0"/>
        <w:ind w:left="720"/>
        <w:rPr>
          <w:rFonts w:cs="Arial"/>
          <w:color w:val="000000"/>
          <w:szCs w:val="24"/>
          <w:u w:val="single"/>
        </w:rPr>
      </w:pPr>
    </w:p>
    <w:p w14:paraId="127D6A51" w14:textId="47DFE397" w:rsidR="00B21EA1" w:rsidRDefault="00B21EA1" w:rsidP="00B21EA1">
      <w:pPr>
        <w:rPr>
          <w:rFonts w:cs="Arial"/>
          <w:color w:val="000000"/>
          <w:szCs w:val="24"/>
        </w:rPr>
      </w:pPr>
      <w:r w:rsidRPr="00952D34">
        <w:rPr>
          <w:rFonts w:cs="Arial"/>
          <w:color w:val="000000"/>
          <w:szCs w:val="24"/>
        </w:rPr>
        <w:t xml:space="preserve">Where a </w:t>
      </w:r>
      <w:r w:rsidR="00C8283E">
        <w:rPr>
          <w:rFonts w:cs="Arial"/>
          <w:color w:val="000000"/>
          <w:szCs w:val="24"/>
        </w:rPr>
        <w:t>patient</w:t>
      </w:r>
      <w:r w:rsidR="00C8283E" w:rsidRPr="00952D34">
        <w:rPr>
          <w:rFonts w:cs="Arial"/>
          <w:color w:val="000000"/>
          <w:szCs w:val="24"/>
        </w:rPr>
        <w:t xml:space="preserve"> </w:t>
      </w:r>
      <w:r w:rsidRPr="00952D34">
        <w:rPr>
          <w:rFonts w:cs="Arial"/>
          <w:color w:val="000000"/>
          <w:szCs w:val="24"/>
        </w:rPr>
        <w:t xml:space="preserve">requests a supply of contraception, the pharmacist informs the </w:t>
      </w:r>
      <w:r w:rsidR="00C8283E">
        <w:rPr>
          <w:rFonts w:cs="Arial"/>
          <w:color w:val="000000"/>
          <w:szCs w:val="24"/>
        </w:rPr>
        <w:t>patient</w:t>
      </w:r>
      <w:r w:rsidR="00C8283E" w:rsidRPr="00952D34">
        <w:rPr>
          <w:rFonts w:cs="Arial"/>
          <w:color w:val="000000"/>
          <w:szCs w:val="24"/>
        </w:rPr>
        <w:t xml:space="preserve"> </w:t>
      </w:r>
      <w:r w:rsidRPr="00952D34">
        <w:rPr>
          <w:rFonts w:cs="Arial"/>
          <w:color w:val="000000"/>
          <w:szCs w:val="24"/>
        </w:rPr>
        <w:t xml:space="preserve">of the availability of bridging contraception and undertakes a desogestrel consultation, using the PGD and desogestrel proforma questionnaire, to establish whether a 3 month supply of desogestrel would be appropriate.  </w:t>
      </w:r>
      <w:r w:rsidRPr="00952D34">
        <w:rPr>
          <w:rFonts w:cs="Arial"/>
          <w:color w:val="000000"/>
          <w:szCs w:val="24"/>
        </w:rPr>
        <w:lastRenderedPageBreak/>
        <w:t xml:space="preserve">This consultation should take the </w:t>
      </w:r>
      <w:r w:rsidR="00C8283E">
        <w:rPr>
          <w:rFonts w:cs="Arial"/>
          <w:color w:val="000000"/>
          <w:szCs w:val="24"/>
        </w:rPr>
        <w:t>patient</w:t>
      </w:r>
      <w:r w:rsidR="00C8283E" w:rsidRPr="00952D34">
        <w:rPr>
          <w:rFonts w:cs="Arial"/>
          <w:color w:val="000000"/>
          <w:szCs w:val="24"/>
        </w:rPr>
        <w:t xml:space="preserve">’s </w:t>
      </w:r>
      <w:r w:rsidRPr="00952D34">
        <w:rPr>
          <w:rFonts w:cs="Arial"/>
          <w:color w:val="000000"/>
          <w:szCs w:val="24"/>
        </w:rPr>
        <w:t>details and consider any contra-indications, previous use and current medication to ensure the supply is safe and appropriate.</w:t>
      </w:r>
    </w:p>
    <w:p w14:paraId="706464D0" w14:textId="77777777" w:rsidR="005C0F27" w:rsidRDefault="005C0F27" w:rsidP="00B21EA1">
      <w:pPr>
        <w:rPr>
          <w:rFonts w:cs="Arial"/>
          <w:color w:val="000000"/>
          <w:szCs w:val="24"/>
        </w:rPr>
      </w:pPr>
    </w:p>
    <w:p w14:paraId="7E59F673" w14:textId="538ED2AC" w:rsidR="0011478A" w:rsidRPr="005D3540" w:rsidRDefault="005C0F27" w:rsidP="005D3540">
      <w:pPr>
        <w:rPr>
          <w:rFonts w:cs="Arial"/>
          <w:color w:val="000000"/>
          <w:szCs w:val="24"/>
        </w:rPr>
      </w:pPr>
      <w:r>
        <w:rPr>
          <w:rFonts w:cs="Arial"/>
          <w:color w:val="000000"/>
          <w:szCs w:val="24"/>
        </w:rPr>
        <w:t xml:space="preserve">In both circumstances, the </w:t>
      </w:r>
      <w:r w:rsidR="00C8283E">
        <w:rPr>
          <w:rFonts w:cs="Arial"/>
          <w:color w:val="000000"/>
          <w:szCs w:val="24"/>
        </w:rPr>
        <w:t>patient</w:t>
      </w:r>
      <w:r>
        <w:rPr>
          <w:rFonts w:cs="Arial"/>
          <w:color w:val="000000"/>
          <w:szCs w:val="24"/>
        </w:rPr>
        <w:t xml:space="preserve"> will be reminded that it</w:t>
      </w:r>
      <w:r w:rsidR="00C8283E">
        <w:rPr>
          <w:rFonts w:cs="Arial"/>
          <w:color w:val="000000"/>
          <w:szCs w:val="24"/>
        </w:rPr>
        <w:t xml:space="preserve"> is</w:t>
      </w:r>
      <w:r>
        <w:rPr>
          <w:rFonts w:cs="Arial"/>
          <w:color w:val="000000"/>
          <w:szCs w:val="24"/>
        </w:rPr>
        <w:t xml:space="preserve"> their </w:t>
      </w:r>
      <w:r w:rsidR="00C8283E">
        <w:rPr>
          <w:rFonts w:cs="Arial"/>
          <w:color w:val="000000"/>
          <w:szCs w:val="24"/>
        </w:rPr>
        <w:t xml:space="preserve">own </w:t>
      </w:r>
      <w:r>
        <w:rPr>
          <w:rFonts w:cs="Arial"/>
          <w:color w:val="000000"/>
          <w:szCs w:val="24"/>
        </w:rPr>
        <w:t>responsibility to contact their GP practice as soon as possible should they wish to continue this medication or se</w:t>
      </w:r>
      <w:r w:rsidR="005D3540">
        <w:rPr>
          <w:rFonts w:cs="Arial"/>
          <w:color w:val="000000"/>
          <w:szCs w:val="24"/>
        </w:rPr>
        <w:t>ek an alternative contraceptive</w:t>
      </w:r>
    </w:p>
    <w:p w14:paraId="0402C94C" w14:textId="77777777" w:rsidR="0011478A" w:rsidRDefault="0011478A">
      <w:pPr>
        <w:rPr>
          <w:rFonts w:cs="Arial"/>
          <w:szCs w:val="24"/>
          <w:u w:val="single"/>
        </w:rPr>
      </w:pPr>
      <w:r>
        <w:rPr>
          <w:rFonts w:cs="Arial"/>
          <w:szCs w:val="24"/>
          <w:u w:val="single"/>
        </w:rPr>
        <w:br w:type="page"/>
      </w:r>
    </w:p>
    <w:p w14:paraId="339F0E60" w14:textId="0EF910B6" w:rsidR="00B21EA1" w:rsidRDefault="00B21EA1" w:rsidP="00B21EA1">
      <w:pPr>
        <w:autoSpaceDE w:val="0"/>
        <w:autoSpaceDN w:val="0"/>
        <w:adjustRightInd w:val="0"/>
        <w:rPr>
          <w:rFonts w:cs="Arial"/>
          <w:szCs w:val="24"/>
          <w:u w:val="single"/>
        </w:rPr>
      </w:pPr>
      <w:r>
        <w:rPr>
          <w:rFonts w:cs="Arial"/>
          <w:szCs w:val="24"/>
          <w:u w:val="single"/>
        </w:rPr>
        <w:lastRenderedPageBreak/>
        <w:t>Actions for GP Practices</w:t>
      </w:r>
    </w:p>
    <w:p w14:paraId="77F74DEB" w14:textId="77777777" w:rsidR="00B21EA1" w:rsidRDefault="00B21EA1" w:rsidP="00B21EA1">
      <w:pPr>
        <w:autoSpaceDE w:val="0"/>
        <w:autoSpaceDN w:val="0"/>
        <w:adjustRightInd w:val="0"/>
        <w:rPr>
          <w:rFonts w:cs="Arial"/>
          <w:szCs w:val="24"/>
          <w:u w:val="single"/>
        </w:rPr>
      </w:pPr>
    </w:p>
    <w:p w14:paraId="65751BEE" w14:textId="77777777" w:rsidR="00B21EA1" w:rsidRDefault="00B21EA1" w:rsidP="00B21EA1">
      <w:pPr>
        <w:autoSpaceDE w:val="0"/>
        <w:autoSpaceDN w:val="0"/>
        <w:adjustRightInd w:val="0"/>
        <w:rPr>
          <w:rFonts w:cs="Arial"/>
          <w:szCs w:val="24"/>
        </w:rPr>
      </w:pPr>
      <w:r>
        <w:rPr>
          <w:rFonts w:cs="Arial"/>
          <w:szCs w:val="24"/>
        </w:rPr>
        <w:t>GP practices will wish to update medical records on receipt of notification from a community pharmacy that a 3-month supply has been made.  Individuals who have received a 3-month supply may contact their GP practice to request subsequent prescriptions</w:t>
      </w:r>
      <w:r w:rsidR="00D93BAE">
        <w:rPr>
          <w:rFonts w:cs="Arial"/>
          <w:szCs w:val="24"/>
        </w:rPr>
        <w:t xml:space="preserve"> or an appointment to </w:t>
      </w:r>
      <w:r w:rsidR="005C0F27">
        <w:rPr>
          <w:rFonts w:cs="Arial"/>
          <w:szCs w:val="24"/>
        </w:rPr>
        <w:t>discuss</w:t>
      </w:r>
      <w:r w:rsidR="00D93BAE">
        <w:rPr>
          <w:rFonts w:cs="Arial"/>
          <w:szCs w:val="24"/>
        </w:rPr>
        <w:t xml:space="preserve"> alternative longer term contraception options</w:t>
      </w:r>
      <w:r>
        <w:rPr>
          <w:rFonts w:cs="Arial"/>
          <w:szCs w:val="24"/>
        </w:rPr>
        <w:t>.</w:t>
      </w:r>
    </w:p>
    <w:p w14:paraId="58BD5CBD" w14:textId="77777777" w:rsidR="00B21EA1" w:rsidRDefault="00B21EA1" w:rsidP="00B21EA1">
      <w:pPr>
        <w:autoSpaceDE w:val="0"/>
        <w:autoSpaceDN w:val="0"/>
        <w:adjustRightInd w:val="0"/>
        <w:rPr>
          <w:rFonts w:cs="Arial"/>
          <w:szCs w:val="24"/>
        </w:rPr>
      </w:pPr>
    </w:p>
    <w:p w14:paraId="49BFF764" w14:textId="322865A8" w:rsidR="00B21EA1" w:rsidRDefault="00B21EA1" w:rsidP="00B21EA1">
      <w:pPr>
        <w:autoSpaceDE w:val="0"/>
        <w:autoSpaceDN w:val="0"/>
        <w:adjustRightInd w:val="0"/>
        <w:rPr>
          <w:rFonts w:cs="Arial"/>
          <w:szCs w:val="24"/>
        </w:rPr>
      </w:pPr>
      <w:r>
        <w:rPr>
          <w:rFonts w:cs="Arial"/>
          <w:szCs w:val="24"/>
        </w:rPr>
        <w:t>The table below provides a summary of actions that may be required of GP practices in respect of bridging contraception:</w:t>
      </w:r>
    </w:p>
    <w:p w14:paraId="64829E6D" w14:textId="77777777" w:rsidR="00B21EA1" w:rsidRDefault="00B21EA1" w:rsidP="00B21EA1">
      <w:pPr>
        <w:autoSpaceDE w:val="0"/>
        <w:autoSpaceDN w:val="0"/>
        <w:adjustRightInd w:val="0"/>
        <w:rPr>
          <w:rFonts w:cs="Arial"/>
          <w:szCs w:val="24"/>
        </w:rPr>
      </w:pPr>
    </w:p>
    <w:p w14:paraId="0204B968" w14:textId="77777777" w:rsidR="00B21EA1" w:rsidRDefault="00B21EA1" w:rsidP="00B21EA1">
      <w:pPr>
        <w:autoSpaceDE w:val="0"/>
        <w:autoSpaceDN w:val="0"/>
        <w:adjustRightInd w:val="0"/>
        <w:rPr>
          <w:rFonts w:cs="Arial"/>
          <w:szCs w:val="24"/>
        </w:rPr>
      </w:pPr>
    </w:p>
    <w:tbl>
      <w:tblPr>
        <w:tblStyle w:val="TableGrid"/>
        <w:tblW w:w="9209" w:type="dxa"/>
        <w:tblLook w:val="04A0" w:firstRow="1" w:lastRow="0" w:firstColumn="1" w:lastColumn="0" w:noHBand="0" w:noVBand="1"/>
      </w:tblPr>
      <w:tblGrid>
        <w:gridCol w:w="5382"/>
        <w:gridCol w:w="3827"/>
      </w:tblGrid>
      <w:tr w:rsidR="00B21EA1" w14:paraId="0F6A1F1D" w14:textId="77777777" w:rsidTr="00B21EA1">
        <w:tc>
          <w:tcPr>
            <w:tcW w:w="5382" w:type="dxa"/>
          </w:tcPr>
          <w:p w14:paraId="0A497D49" w14:textId="77777777" w:rsidR="00B21EA1" w:rsidRPr="00B21EA1" w:rsidRDefault="00B21EA1" w:rsidP="00B21EA1">
            <w:pPr>
              <w:autoSpaceDE w:val="0"/>
              <w:autoSpaceDN w:val="0"/>
              <w:adjustRightInd w:val="0"/>
              <w:rPr>
                <w:rFonts w:cs="Arial"/>
                <w:i/>
                <w:szCs w:val="24"/>
              </w:rPr>
            </w:pPr>
            <w:r w:rsidRPr="00B21EA1">
              <w:rPr>
                <w:rFonts w:cs="Arial"/>
                <w:i/>
                <w:szCs w:val="24"/>
              </w:rPr>
              <w:t>Event</w:t>
            </w:r>
          </w:p>
        </w:tc>
        <w:tc>
          <w:tcPr>
            <w:tcW w:w="3827" w:type="dxa"/>
          </w:tcPr>
          <w:p w14:paraId="40581D55" w14:textId="77777777" w:rsidR="00B21EA1" w:rsidRPr="00B21EA1" w:rsidRDefault="00B21EA1" w:rsidP="00B21EA1">
            <w:pPr>
              <w:autoSpaceDE w:val="0"/>
              <w:autoSpaceDN w:val="0"/>
              <w:adjustRightInd w:val="0"/>
              <w:rPr>
                <w:rFonts w:cs="Arial"/>
                <w:i/>
                <w:szCs w:val="24"/>
              </w:rPr>
            </w:pPr>
            <w:r w:rsidRPr="00B21EA1">
              <w:rPr>
                <w:rFonts w:cs="Arial"/>
                <w:i/>
                <w:szCs w:val="24"/>
              </w:rPr>
              <w:t>Action by GP practice</w:t>
            </w:r>
          </w:p>
        </w:tc>
      </w:tr>
      <w:tr w:rsidR="00B21EA1" w14:paraId="780B21AE" w14:textId="77777777" w:rsidTr="00B21EA1">
        <w:tc>
          <w:tcPr>
            <w:tcW w:w="5382" w:type="dxa"/>
          </w:tcPr>
          <w:p w14:paraId="75384C89" w14:textId="0D87DD54" w:rsidR="00B21EA1" w:rsidRDefault="00B21EA1" w:rsidP="00B21EA1">
            <w:pPr>
              <w:autoSpaceDE w:val="0"/>
              <w:autoSpaceDN w:val="0"/>
              <w:adjustRightInd w:val="0"/>
              <w:rPr>
                <w:rFonts w:cs="Arial"/>
                <w:szCs w:val="24"/>
              </w:rPr>
            </w:pPr>
            <w:r>
              <w:rPr>
                <w:rFonts w:cs="Arial"/>
                <w:szCs w:val="24"/>
              </w:rPr>
              <w:t xml:space="preserve">Community pharmacy sends notification </w:t>
            </w:r>
            <w:r w:rsidR="0011478A">
              <w:rPr>
                <w:rFonts w:cs="Arial"/>
                <w:szCs w:val="24"/>
              </w:rPr>
              <w:t xml:space="preserve">form </w:t>
            </w:r>
            <w:r>
              <w:rPr>
                <w:rFonts w:cs="Arial"/>
                <w:szCs w:val="24"/>
              </w:rPr>
              <w:t>to GP practice that 3-month supply of POP</w:t>
            </w:r>
            <w:r w:rsidR="0011478A">
              <w:rPr>
                <w:rFonts w:cs="Arial"/>
                <w:szCs w:val="24"/>
              </w:rPr>
              <w:t xml:space="preserve"> has been made to named patient, and/or a copy of the prescription form.</w:t>
            </w:r>
          </w:p>
          <w:p w14:paraId="0BDD1C08" w14:textId="77777777" w:rsidR="00B21EA1" w:rsidRDefault="00B21EA1" w:rsidP="00B21EA1">
            <w:pPr>
              <w:autoSpaceDE w:val="0"/>
              <w:autoSpaceDN w:val="0"/>
              <w:adjustRightInd w:val="0"/>
              <w:rPr>
                <w:rFonts w:cs="Arial"/>
                <w:szCs w:val="24"/>
              </w:rPr>
            </w:pPr>
          </w:p>
          <w:p w14:paraId="64BC4A02" w14:textId="77777777" w:rsidR="00B21EA1" w:rsidRDefault="00B21EA1" w:rsidP="005C0F27">
            <w:pPr>
              <w:autoSpaceDE w:val="0"/>
              <w:autoSpaceDN w:val="0"/>
              <w:adjustRightInd w:val="0"/>
              <w:rPr>
                <w:rFonts w:cs="Arial"/>
                <w:szCs w:val="24"/>
              </w:rPr>
            </w:pPr>
            <w:r>
              <w:rPr>
                <w:rFonts w:cs="Arial"/>
                <w:szCs w:val="24"/>
              </w:rPr>
              <w:t xml:space="preserve">This notification will normally </w:t>
            </w:r>
            <w:r w:rsidR="00D93BAE">
              <w:rPr>
                <w:rFonts w:cs="Arial"/>
                <w:szCs w:val="24"/>
              </w:rPr>
              <w:t xml:space="preserve">either </w:t>
            </w:r>
            <w:r>
              <w:rPr>
                <w:rFonts w:cs="Arial"/>
                <w:szCs w:val="24"/>
              </w:rPr>
              <w:t xml:space="preserve">be via email to the practice’s mailbox or </w:t>
            </w:r>
            <w:r w:rsidR="00D93BAE">
              <w:rPr>
                <w:rFonts w:cs="Arial"/>
                <w:szCs w:val="24"/>
              </w:rPr>
              <w:t>a physical copy</w:t>
            </w:r>
            <w:r w:rsidR="005C0F27">
              <w:rPr>
                <w:rFonts w:cs="Arial"/>
                <w:szCs w:val="24"/>
              </w:rPr>
              <w:t xml:space="preserve"> sent</w:t>
            </w:r>
            <w:r w:rsidR="0011478A">
              <w:rPr>
                <w:rFonts w:cs="Arial"/>
                <w:szCs w:val="24"/>
              </w:rPr>
              <w:t xml:space="preserve"> to the practice.</w:t>
            </w:r>
          </w:p>
          <w:p w14:paraId="3C8926EA" w14:textId="0D2BCF4C" w:rsidR="0011478A" w:rsidRDefault="0011478A" w:rsidP="005C0F27">
            <w:pPr>
              <w:autoSpaceDE w:val="0"/>
              <w:autoSpaceDN w:val="0"/>
              <w:adjustRightInd w:val="0"/>
              <w:rPr>
                <w:rFonts w:cs="Arial"/>
                <w:szCs w:val="24"/>
              </w:rPr>
            </w:pPr>
          </w:p>
        </w:tc>
        <w:tc>
          <w:tcPr>
            <w:tcW w:w="3827" w:type="dxa"/>
          </w:tcPr>
          <w:p w14:paraId="61AAFF25" w14:textId="12BF3E20" w:rsidR="00B21EA1" w:rsidRDefault="005D3540" w:rsidP="0011478A">
            <w:pPr>
              <w:autoSpaceDE w:val="0"/>
              <w:autoSpaceDN w:val="0"/>
              <w:adjustRightInd w:val="0"/>
              <w:rPr>
                <w:rFonts w:cs="Arial"/>
                <w:szCs w:val="24"/>
              </w:rPr>
            </w:pPr>
            <w:r w:rsidRPr="005D3540">
              <w:t>Update patient records through normal processes.</w:t>
            </w:r>
          </w:p>
        </w:tc>
      </w:tr>
      <w:tr w:rsidR="00B21EA1" w14:paraId="5E45B99D" w14:textId="77777777" w:rsidTr="00B21EA1">
        <w:tc>
          <w:tcPr>
            <w:tcW w:w="5382" w:type="dxa"/>
          </w:tcPr>
          <w:p w14:paraId="008D4B5F" w14:textId="4F55884C" w:rsidR="00B21EA1" w:rsidRDefault="00B21EA1" w:rsidP="00B21EA1">
            <w:pPr>
              <w:autoSpaceDE w:val="0"/>
              <w:autoSpaceDN w:val="0"/>
              <w:adjustRightInd w:val="0"/>
              <w:rPr>
                <w:rFonts w:cs="Arial"/>
                <w:szCs w:val="24"/>
              </w:rPr>
            </w:pPr>
            <w:r>
              <w:rPr>
                <w:rFonts w:cs="Arial"/>
                <w:szCs w:val="24"/>
              </w:rPr>
              <w:t xml:space="preserve">Following a supply of POP from their pharmacy, patient may contact GP practice to request </w:t>
            </w:r>
            <w:r w:rsidR="005D3540">
              <w:rPr>
                <w:rFonts w:cs="Arial"/>
                <w:szCs w:val="24"/>
              </w:rPr>
              <w:t>ongoing contraception.</w:t>
            </w:r>
          </w:p>
          <w:p w14:paraId="5E17F7FC" w14:textId="1F6BAB09" w:rsidR="0011478A" w:rsidRDefault="0011478A" w:rsidP="00B21EA1">
            <w:pPr>
              <w:autoSpaceDE w:val="0"/>
              <w:autoSpaceDN w:val="0"/>
              <w:adjustRightInd w:val="0"/>
              <w:rPr>
                <w:rFonts w:cs="Arial"/>
                <w:szCs w:val="24"/>
              </w:rPr>
            </w:pPr>
          </w:p>
        </w:tc>
        <w:tc>
          <w:tcPr>
            <w:tcW w:w="3827" w:type="dxa"/>
          </w:tcPr>
          <w:p w14:paraId="58916E6A" w14:textId="5928104D" w:rsidR="00B21EA1" w:rsidRDefault="00B21EA1" w:rsidP="005D3540">
            <w:pPr>
              <w:autoSpaceDE w:val="0"/>
              <w:autoSpaceDN w:val="0"/>
              <w:adjustRightInd w:val="0"/>
              <w:rPr>
                <w:rFonts w:cs="Arial"/>
                <w:szCs w:val="24"/>
              </w:rPr>
            </w:pPr>
            <w:r>
              <w:rPr>
                <w:rFonts w:cs="Arial"/>
                <w:szCs w:val="24"/>
              </w:rPr>
              <w:t>GP practice normal process when a patient re</w:t>
            </w:r>
            <w:r w:rsidR="0011478A">
              <w:rPr>
                <w:rFonts w:cs="Arial"/>
                <w:szCs w:val="24"/>
              </w:rPr>
              <w:t xml:space="preserve">quests </w:t>
            </w:r>
            <w:r w:rsidR="005D3540">
              <w:rPr>
                <w:rFonts w:cs="Arial"/>
                <w:szCs w:val="24"/>
              </w:rPr>
              <w:t>ongoing contraception.</w:t>
            </w:r>
          </w:p>
        </w:tc>
      </w:tr>
      <w:tr w:rsidR="00B21EA1" w14:paraId="0C24A303" w14:textId="77777777" w:rsidTr="00B21EA1">
        <w:tc>
          <w:tcPr>
            <w:tcW w:w="5382" w:type="dxa"/>
          </w:tcPr>
          <w:p w14:paraId="33EEA576" w14:textId="77777777" w:rsidR="00B21EA1" w:rsidRDefault="00B21EA1" w:rsidP="00B21EA1">
            <w:pPr>
              <w:autoSpaceDE w:val="0"/>
              <w:autoSpaceDN w:val="0"/>
              <w:adjustRightInd w:val="0"/>
              <w:rPr>
                <w:rFonts w:cs="Arial"/>
                <w:szCs w:val="24"/>
              </w:rPr>
            </w:pPr>
            <w:r>
              <w:rPr>
                <w:rFonts w:cs="Arial"/>
                <w:szCs w:val="24"/>
              </w:rPr>
              <w:t>Following a supply of POP from their pharmacy, patient may contact GP practice to discuss contraception options or request another type of contraception.</w:t>
            </w:r>
          </w:p>
        </w:tc>
        <w:tc>
          <w:tcPr>
            <w:tcW w:w="3827" w:type="dxa"/>
          </w:tcPr>
          <w:p w14:paraId="654E6925" w14:textId="0E69B090" w:rsidR="00B21EA1" w:rsidRDefault="00B21EA1" w:rsidP="00B21EA1">
            <w:pPr>
              <w:autoSpaceDE w:val="0"/>
              <w:autoSpaceDN w:val="0"/>
              <w:adjustRightInd w:val="0"/>
              <w:rPr>
                <w:rFonts w:cs="Arial"/>
                <w:szCs w:val="24"/>
              </w:rPr>
            </w:pPr>
            <w:r>
              <w:rPr>
                <w:rFonts w:cs="Arial"/>
                <w:szCs w:val="24"/>
              </w:rPr>
              <w:t>GP practice normal process</w:t>
            </w:r>
            <w:r w:rsidR="0011478A">
              <w:rPr>
                <w:rFonts w:cs="Arial"/>
                <w:szCs w:val="24"/>
              </w:rPr>
              <w:t>.</w:t>
            </w:r>
          </w:p>
        </w:tc>
      </w:tr>
    </w:tbl>
    <w:p w14:paraId="748E5326" w14:textId="77777777" w:rsidR="00B21EA1" w:rsidRPr="00B21EA1" w:rsidRDefault="00B21EA1" w:rsidP="00B21EA1">
      <w:pPr>
        <w:autoSpaceDE w:val="0"/>
        <w:autoSpaceDN w:val="0"/>
        <w:adjustRightInd w:val="0"/>
        <w:rPr>
          <w:rFonts w:cs="Arial"/>
          <w:szCs w:val="24"/>
        </w:rPr>
      </w:pPr>
    </w:p>
    <w:p w14:paraId="77C582AD" w14:textId="00BCBD89" w:rsidR="005C0F27" w:rsidRDefault="005C0F27" w:rsidP="00B561C0">
      <w:pPr>
        <w:rPr>
          <w:rFonts w:cs="Arial"/>
          <w:szCs w:val="24"/>
        </w:rPr>
      </w:pPr>
    </w:p>
    <w:p w14:paraId="6F330C86" w14:textId="66178F46" w:rsidR="005C0F27" w:rsidRDefault="005A0EC8" w:rsidP="00B561C0">
      <w:pPr>
        <w:rPr>
          <w:rFonts w:cs="Arial"/>
          <w:szCs w:val="24"/>
        </w:rPr>
      </w:pPr>
      <w:r>
        <w:rPr>
          <w:rFonts w:cs="Arial"/>
          <w:szCs w:val="24"/>
        </w:rPr>
        <w:lastRenderedPageBreak/>
        <w:t xml:space="preserve">It is recommended that you discuss the contents of this letter with your local cluster of practices and </w:t>
      </w:r>
      <w:r w:rsidR="0011478A">
        <w:rPr>
          <w:rFonts w:cs="Arial"/>
          <w:szCs w:val="24"/>
        </w:rPr>
        <w:t xml:space="preserve">community </w:t>
      </w:r>
      <w:r>
        <w:rPr>
          <w:rFonts w:cs="Arial"/>
          <w:szCs w:val="24"/>
        </w:rPr>
        <w:t>pharmacies to help develop a deeper understanding of how this service works</w:t>
      </w:r>
      <w:r w:rsidR="001C7A31">
        <w:rPr>
          <w:rFonts w:cs="Arial"/>
          <w:szCs w:val="24"/>
        </w:rPr>
        <w:t>.  A</w:t>
      </w:r>
      <w:r w:rsidR="00C8283E">
        <w:rPr>
          <w:rFonts w:cs="Arial"/>
          <w:szCs w:val="24"/>
        </w:rPr>
        <w:t xml:space="preserve">greeing a process which works for everyone will help </w:t>
      </w:r>
      <w:r>
        <w:rPr>
          <w:rFonts w:cs="Arial"/>
          <w:szCs w:val="24"/>
        </w:rPr>
        <w:t>ensure a consistent and efficient patient journey.</w:t>
      </w:r>
    </w:p>
    <w:p w14:paraId="30E059DB" w14:textId="29E3EFD7" w:rsidR="0011478A" w:rsidRDefault="0011478A" w:rsidP="00B561C0">
      <w:pPr>
        <w:rPr>
          <w:rFonts w:cs="Arial"/>
          <w:szCs w:val="24"/>
        </w:rPr>
      </w:pPr>
    </w:p>
    <w:p w14:paraId="2874D74F" w14:textId="2574C120" w:rsidR="0011478A" w:rsidRDefault="0011478A" w:rsidP="00B561C0">
      <w:pPr>
        <w:rPr>
          <w:rFonts w:cs="Arial"/>
          <w:szCs w:val="24"/>
        </w:rPr>
      </w:pPr>
    </w:p>
    <w:p w14:paraId="03EC2177" w14:textId="72508590" w:rsidR="001C7A31" w:rsidRDefault="005D3540">
      <w:pPr>
        <w:rPr>
          <w:rFonts w:cs="Arial"/>
          <w:szCs w:val="24"/>
        </w:rPr>
      </w:pPr>
      <w:r>
        <w:rPr>
          <w:rFonts w:cs="Arial"/>
          <w:szCs w:val="24"/>
        </w:rPr>
        <w:t>November</w:t>
      </w:r>
      <w:r w:rsidR="0011478A">
        <w:rPr>
          <w:rFonts w:cs="Arial"/>
          <w:szCs w:val="24"/>
        </w:rPr>
        <w:t xml:space="preserve"> 2021</w:t>
      </w:r>
    </w:p>
    <w:sectPr w:rsidR="001C7A31"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8D803" w14:textId="77777777" w:rsidR="008B6088" w:rsidRDefault="008B6088" w:rsidP="002D290A">
      <w:r>
        <w:separator/>
      </w:r>
    </w:p>
  </w:endnote>
  <w:endnote w:type="continuationSeparator" w:id="0">
    <w:p w14:paraId="23BE4C96" w14:textId="77777777" w:rsidR="008B6088" w:rsidRDefault="008B6088" w:rsidP="002D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5C9A" w14:textId="77777777" w:rsidR="008B6088" w:rsidRDefault="008B6088" w:rsidP="002D290A">
      <w:r>
        <w:separator/>
      </w:r>
    </w:p>
  </w:footnote>
  <w:footnote w:type="continuationSeparator" w:id="0">
    <w:p w14:paraId="245F4F10" w14:textId="77777777" w:rsidR="008B6088" w:rsidRDefault="008B6088" w:rsidP="002D290A">
      <w:r>
        <w:continuationSeparator/>
      </w:r>
    </w:p>
  </w:footnote>
  <w:footnote w:id="1">
    <w:p w14:paraId="34EA8E00" w14:textId="44AFA8FD" w:rsidR="002D290A" w:rsidRPr="005D3540" w:rsidRDefault="002D290A" w:rsidP="002D290A">
      <w:pPr>
        <w:pStyle w:val="FootnoteText"/>
      </w:pPr>
      <w:r w:rsidRPr="005D3540">
        <w:rPr>
          <w:rStyle w:val="FootnoteReference"/>
        </w:rPr>
        <w:footnoteRef/>
      </w:r>
      <w:r w:rsidRPr="005D3540">
        <w:t xml:space="preserve"> </w:t>
      </w:r>
      <w:r w:rsidR="0011478A" w:rsidRPr="005D3540">
        <w:rPr>
          <w:rFonts w:ascii="ArialMT" w:hAnsi="ArialMT" w:cs="ArialMT"/>
          <w:szCs w:val="24"/>
        </w:rPr>
        <w:t>The Royal College of Obstetricians &amp; Gynaecologists (RCOG) (2019) Better for Women, p.38</w:t>
      </w:r>
    </w:p>
  </w:footnote>
  <w:footnote w:id="2">
    <w:p w14:paraId="59D45519" w14:textId="725CC780" w:rsidR="005D3540" w:rsidRDefault="005D3540">
      <w:pPr>
        <w:pStyle w:val="FootnoteText"/>
      </w:pPr>
      <w:r w:rsidRPr="005D3540">
        <w:rPr>
          <w:rStyle w:val="FootnoteReference"/>
        </w:rPr>
        <w:footnoteRef/>
      </w:r>
      <w:r w:rsidRPr="005D3540">
        <w:t xml:space="preserve"> Public Health Scotland (2021) Termination of pregnancy statistics 25 May 2021 - Data &amp; intelligence from PHS (isdscotland.org), A National Statistics publication for Scotland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DA4007"/>
    <w:multiLevelType w:val="hybridMultilevel"/>
    <w:tmpl w:val="95708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13C497B"/>
    <w:multiLevelType w:val="hybridMultilevel"/>
    <w:tmpl w:val="4B320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BE"/>
    <w:rsid w:val="00027C27"/>
    <w:rsid w:val="00067E12"/>
    <w:rsid w:val="000C0CF4"/>
    <w:rsid w:val="000D3139"/>
    <w:rsid w:val="0011478A"/>
    <w:rsid w:val="001C7A31"/>
    <w:rsid w:val="00281579"/>
    <w:rsid w:val="002D290A"/>
    <w:rsid w:val="00306C61"/>
    <w:rsid w:val="0034147B"/>
    <w:rsid w:val="0037582B"/>
    <w:rsid w:val="003E753B"/>
    <w:rsid w:val="005A0EC8"/>
    <w:rsid w:val="005C0F27"/>
    <w:rsid w:val="005D3540"/>
    <w:rsid w:val="007B10E1"/>
    <w:rsid w:val="00857548"/>
    <w:rsid w:val="008B6088"/>
    <w:rsid w:val="00914601"/>
    <w:rsid w:val="009B7615"/>
    <w:rsid w:val="00AA33BE"/>
    <w:rsid w:val="00B21EA1"/>
    <w:rsid w:val="00B51BDC"/>
    <w:rsid w:val="00B561C0"/>
    <w:rsid w:val="00B773CE"/>
    <w:rsid w:val="00B9467A"/>
    <w:rsid w:val="00BA6E5D"/>
    <w:rsid w:val="00BE439B"/>
    <w:rsid w:val="00C8283E"/>
    <w:rsid w:val="00C91823"/>
    <w:rsid w:val="00D008AB"/>
    <w:rsid w:val="00D93BAE"/>
    <w:rsid w:val="00F23BA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1A52"/>
  <w15:chartTrackingRefBased/>
  <w15:docId w15:val="{5D4EA7E4-F649-4946-A882-6B6EDC63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FootnoteText">
    <w:name w:val="footnote text"/>
    <w:basedOn w:val="Normal"/>
    <w:link w:val="FootnoteTextChar"/>
    <w:uiPriority w:val="99"/>
    <w:semiHidden/>
    <w:unhideWhenUsed/>
    <w:rsid w:val="002D290A"/>
    <w:rPr>
      <w:sz w:val="20"/>
    </w:rPr>
  </w:style>
  <w:style w:type="character" w:customStyle="1" w:styleId="FootnoteTextChar">
    <w:name w:val="Footnote Text Char"/>
    <w:basedOn w:val="DefaultParagraphFont"/>
    <w:link w:val="FootnoteText"/>
    <w:uiPriority w:val="99"/>
    <w:semiHidden/>
    <w:rsid w:val="002D290A"/>
    <w:rPr>
      <w:rFonts w:ascii="Arial" w:hAnsi="Arial" w:cs="Times New Roman"/>
      <w:sz w:val="20"/>
      <w:szCs w:val="20"/>
    </w:rPr>
  </w:style>
  <w:style w:type="character" w:styleId="FootnoteReference">
    <w:name w:val="footnote reference"/>
    <w:basedOn w:val="DefaultParagraphFont"/>
    <w:uiPriority w:val="99"/>
    <w:semiHidden/>
    <w:unhideWhenUsed/>
    <w:rsid w:val="002D290A"/>
    <w:rPr>
      <w:vertAlign w:val="superscript"/>
    </w:rPr>
  </w:style>
  <w:style w:type="paragraph" w:styleId="ListParagraph">
    <w:name w:val="List Paragraph"/>
    <w:basedOn w:val="Normal"/>
    <w:uiPriority w:val="34"/>
    <w:qFormat/>
    <w:rsid w:val="00B21EA1"/>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table" w:styleId="TableGrid">
    <w:name w:val="Table Grid"/>
    <w:basedOn w:val="TableNormal"/>
    <w:uiPriority w:val="39"/>
    <w:rsid w:val="00B2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BA5"/>
    <w:rPr>
      <w:sz w:val="16"/>
      <w:szCs w:val="16"/>
    </w:rPr>
  </w:style>
  <w:style w:type="paragraph" w:styleId="CommentText">
    <w:name w:val="annotation text"/>
    <w:basedOn w:val="Normal"/>
    <w:link w:val="CommentTextChar"/>
    <w:uiPriority w:val="99"/>
    <w:semiHidden/>
    <w:unhideWhenUsed/>
    <w:rsid w:val="00F23BA5"/>
    <w:rPr>
      <w:sz w:val="20"/>
    </w:rPr>
  </w:style>
  <w:style w:type="character" w:customStyle="1" w:styleId="CommentTextChar">
    <w:name w:val="Comment Text Char"/>
    <w:basedOn w:val="DefaultParagraphFont"/>
    <w:link w:val="CommentText"/>
    <w:uiPriority w:val="99"/>
    <w:semiHidden/>
    <w:rsid w:val="00F23BA5"/>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23BA5"/>
    <w:rPr>
      <w:b/>
      <w:bCs/>
    </w:rPr>
  </w:style>
  <w:style w:type="character" w:customStyle="1" w:styleId="CommentSubjectChar">
    <w:name w:val="Comment Subject Char"/>
    <w:basedOn w:val="CommentTextChar"/>
    <w:link w:val="CommentSubject"/>
    <w:uiPriority w:val="99"/>
    <w:semiHidden/>
    <w:rsid w:val="00F23BA5"/>
    <w:rPr>
      <w:rFonts w:ascii="Arial" w:hAnsi="Arial" w:cs="Times New Roman"/>
      <w:b/>
      <w:bCs/>
      <w:sz w:val="20"/>
      <w:szCs w:val="20"/>
    </w:rPr>
  </w:style>
  <w:style w:type="paragraph" w:styleId="BalloonText">
    <w:name w:val="Balloon Text"/>
    <w:basedOn w:val="Normal"/>
    <w:link w:val="BalloonTextChar"/>
    <w:uiPriority w:val="99"/>
    <w:semiHidden/>
    <w:unhideWhenUsed/>
    <w:rsid w:val="00F23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FBEC1-DF28-4094-BF99-8B5E2743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Muirhead E (Elaine)</dc:creator>
  <cp:keywords/>
  <dc:description/>
  <cp:lastModifiedBy>Hendren, Sandra</cp:lastModifiedBy>
  <cp:revision>2</cp:revision>
  <dcterms:created xsi:type="dcterms:W3CDTF">2021-11-12T08:17:00Z</dcterms:created>
  <dcterms:modified xsi:type="dcterms:W3CDTF">2021-11-12T08:17:00Z</dcterms:modified>
</cp:coreProperties>
</file>