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89E8A" w14:textId="77777777" w:rsidR="00EF7E98" w:rsidRDefault="00EF7E98" w:rsidP="00EF7E98">
      <w:pPr>
        <w:jc w:val="center"/>
        <w:rPr>
          <w:sz w:val="28"/>
          <w:szCs w:val="28"/>
          <w:u w:val="single"/>
        </w:rPr>
      </w:pPr>
      <w:bookmarkStart w:id="0" w:name="_GoBack"/>
      <w:bookmarkEnd w:id="0"/>
    </w:p>
    <w:p w14:paraId="279A4186" w14:textId="2EA38F94" w:rsidR="00EF7E98" w:rsidRDefault="005746CB" w:rsidP="00EF7E98">
      <w:pPr>
        <w:jc w:val="center"/>
        <w:rPr>
          <w:sz w:val="28"/>
          <w:szCs w:val="28"/>
          <w:u w:val="single"/>
        </w:rPr>
      </w:pPr>
      <w:r>
        <w:rPr>
          <w:sz w:val="28"/>
          <w:szCs w:val="28"/>
          <w:u w:val="single"/>
        </w:rPr>
        <w:t xml:space="preserve">Prescription Issues – November </w:t>
      </w:r>
      <w:r w:rsidR="00EF7E98">
        <w:rPr>
          <w:sz w:val="28"/>
          <w:szCs w:val="28"/>
          <w:u w:val="single"/>
        </w:rPr>
        <w:t>2021</w:t>
      </w:r>
    </w:p>
    <w:p w14:paraId="1D47141D" w14:textId="77777777" w:rsidR="00EF7E98" w:rsidRDefault="00EF7E98" w:rsidP="00EF7E98">
      <w:pPr>
        <w:rPr>
          <w:sz w:val="24"/>
          <w:szCs w:val="24"/>
          <w:u w:val="single"/>
        </w:rPr>
      </w:pPr>
    </w:p>
    <w:p w14:paraId="63D07005" w14:textId="77777777" w:rsidR="00EF7E98" w:rsidRDefault="00EF7E98" w:rsidP="00EF7E98">
      <w:pPr>
        <w:rPr>
          <w:sz w:val="24"/>
          <w:szCs w:val="24"/>
          <w:u w:val="single"/>
        </w:rPr>
      </w:pPr>
      <w:r>
        <w:rPr>
          <w:sz w:val="24"/>
          <w:szCs w:val="24"/>
          <w:u w:val="single"/>
        </w:rPr>
        <w:t>Prescribing during Telephone/Virtual Consultation</w:t>
      </w:r>
    </w:p>
    <w:p w14:paraId="4E664E73" w14:textId="77777777" w:rsidR="00EF7E98" w:rsidRDefault="00EF7E98" w:rsidP="00EF7E98">
      <w:pPr>
        <w:pStyle w:val="xxmsonormal"/>
        <w:rPr>
          <w:rFonts w:ascii="Calibri" w:hAnsi="Calibri" w:cs="Calibri"/>
          <w:sz w:val="22"/>
          <w:szCs w:val="22"/>
        </w:rPr>
      </w:pPr>
      <w:r>
        <w:rPr>
          <w:rFonts w:ascii="Calibri" w:hAnsi="Calibri" w:cs="Calibri"/>
          <w:sz w:val="22"/>
          <w:szCs w:val="22"/>
        </w:rPr>
        <w:t xml:space="preserve">It is clear that GP Practices remain under considerable pressure and with the continued need to observe social distancing means that face to face consultations are still limited. The Community Pharmacy network also continues to experience high demand/workload. Most practices have tried and tested processes to work with their local Community Pharmacies, which should continue, however some patients have unrealistic expectations of how quickly a prescription will be available to collect from the pharmacy. </w:t>
      </w:r>
    </w:p>
    <w:p w14:paraId="45DC7B6D" w14:textId="77777777" w:rsidR="00EF7E98" w:rsidRDefault="00EF7E98" w:rsidP="00EF7E98">
      <w:pPr>
        <w:pStyle w:val="xxmsonormal"/>
        <w:rPr>
          <w:rFonts w:ascii="Calibri" w:hAnsi="Calibri" w:cs="Calibri"/>
          <w:sz w:val="22"/>
          <w:szCs w:val="22"/>
        </w:rPr>
      </w:pPr>
    </w:p>
    <w:p w14:paraId="3677E2C9" w14:textId="77777777" w:rsidR="00EF7E98" w:rsidRDefault="00EF7E98" w:rsidP="00EF7E98">
      <w:pPr>
        <w:pStyle w:val="xxmsonormal"/>
        <w:rPr>
          <w:rFonts w:ascii="Calibri" w:hAnsi="Calibri" w:cs="Calibri"/>
          <w:sz w:val="22"/>
          <w:szCs w:val="22"/>
        </w:rPr>
      </w:pPr>
      <w:r>
        <w:rPr>
          <w:rFonts w:ascii="Calibri" w:hAnsi="Calibri" w:cs="Calibri"/>
          <w:sz w:val="22"/>
          <w:szCs w:val="22"/>
        </w:rPr>
        <w:t xml:space="preserve">Therefore - as a reminder - if you are consulting remotely and a prescription is required, please only email (or phone) </w:t>
      </w:r>
      <w:r>
        <w:rPr>
          <w:rFonts w:ascii="Calibri" w:hAnsi="Calibri" w:cs="Calibri"/>
          <w:b/>
          <w:sz w:val="22"/>
          <w:szCs w:val="22"/>
        </w:rPr>
        <w:t xml:space="preserve">urgent </w:t>
      </w:r>
      <w:r>
        <w:rPr>
          <w:rFonts w:ascii="Calibri" w:hAnsi="Calibri" w:cs="Calibri"/>
          <w:sz w:val="22"/>
          <w:szCs w:val="22"/>
        </w:rPr>
        <w:t>prescriptions to the pharmacy. Arrange any non-urgent prescription in the normal way and advise the patient it should be ready for collection at the pharmacy within 48 hours.</w:t>
      </w:r>
    </w:p>
    <w:p w14:paraId="3043F8DC" w14:textId="77777777" w:rsidR="00EF7E98" w:rsidRDefault="00EF7E98" w:rsidP="00EF7E98">
      <w:pPr>
        <w:pStyle w:val="xxmsonormal"/>
        <w:rPr>
          <w:rFonts w:ascii="Calibri" w:hAnsi="Calibri" w:cs="Calibri"/>
          <w:sz w:val="22"/>
          <w:szCs w:val="22"/>
        </w:rPr>
      </w:pPr>
    </w:p>
    <w:p w14:paraId="3AAEE078" w14:textId="77777777" w:rsidR="00EF7E98" w:rsidRDefault="00EF7E98" w:rsidP="00EF7E98">
      <w:pPr>
        <w:pStyle w:val="xxmsonormal"/>
        <w:rPr>
          <w:rFonts w:ascii="Calibri" w:hAnsi="Calibri" w:cs="Calibri"/>
          <w:sz w:val="22"/>
          <w:szCs w:val="22"/>
        </w:rPr>
      </w:pPr>
      <w:r>
        <w:rPr>
          <w:rFonts w:ascii="Calibri" w:hAnsi="Calibri" w:cs="Calibri"/>
          <w:sz w:val="22"/>
          <w:szCs w:val="22"/>
        </w:rPr>
        <w:t xml:space="preserve">Please use the </w:t>
      </w:r>
      <w:proofErr w:type="spellStart"/>
      <w:r>
        <w:rPr>
          <w:rFonts w:ascii="Calibri" w:hAnsi="Calibri" w:cs="Calibri"/>
          <w:sz w:val="22"/>
          <w:szCs w:val="22"/>
        </w:rPr>
        <w:t>NHS.Scot</w:t>
      </w:r>
      <w:proofErr w:type="spellEnd"/>
      <w:r>
        <w:rPr>
          <w:rFonts w:ascii="Calibri" w:hAnsi="Calibri" w:cs="Calibri"/>
          <w:sz w:val="22"/>
          <w:szCs w:val="22"/>
        </w:rPr>
        <w:t xml:space="preserve"> email address for the Community Pharmacy. </w:t>
      </w:r>
      <w:r>
        <w:rPr>
          <w:rFonts w:ascii="Calibri" w:hAnsi="Calibri" w:cs="Calibri"/>
          <w:b/>
          <w:sz w:val="22"/>
          <w:szCs w:val="22"/>
        </w:rPr>
        <w:t>Urgent</w:t>
      </w:r>
      <w:r>
        <w:rPr>
          <w:rFonts w:ascii="Calibri" w:hAnsi="Calibri" w:cs="Calibri"/>
          <w:sz w:val="22"/>
          <w:szCs w:val="22"/>
        </w:rPr>
        <w:t xml:space="preserve"> requests should also be accompanied by a phone call from GP receptionist asking to speak to the pharmacist. If the pharmacist is not immediately available, the phone number of the practice should be left. Pharmacist to phone back and agree urgent request (or not).  Pharmacies will endeavour to have urgent prescriptions ready within 3 hours of the request being received/accepted.</w:t>
      </w:r>
    </w:p>
    <w:p w14:paraId="61E63F8C" w14:textId="77777777" w:rsidR="00EF7E98" w:rsidRDefault="00EF7E98" w:rsidP="00EF7E98">
      <w:pPr>
        <w:pStyle w:val="xxmsonormal"/>
        <w:rPr>
          <w:rFonts w:ascii="Calibri" w:hAnsi="Calibri" w:cs="Calibri"/>
          <w:sz w:val="22"/>
          <w:szCs w:val="22"/>
        </w:rPr>
      </w:pPr>
    </w:p>
    <w:p w14:paraId="5920C389" w14:textId="77777777" w:rsidR="00EF7E98" w:rsidRDefault="00EF7E98" w:rsidP="00EF7E98">
      <w:pPr>
        <w:rPr>
          <w:rFonts w:ascii="Calibri" w:hAnsi="Calibri" w:cs="Calibri"/>
          <w:color w:val="000000"/>
          <w:lang w:eastAsia="en-GB"/>
        </w:rPr>
      </w:pPr>
      <w:r>
        <w:rPr>
          <w:rFonts w:cs="Calibri"/>
          <w:color w:val="000000"/>
        </w:rPr>
        <w:t xml:space="preserve">A copy of the </w:t>
      </w:r>
      <w:r>
        <w:rPr>
          <w:rFonts w:cs="Calibri"/>
        </w:rPr>
        <w:t xml:space="preserve">prescription </w:t>
      </w:r>
      <w:r>
        <w:rPr>
          <w:rFonts w:cs="Calibri"/>
          <w:color w:val="000000"/>
        </w:rPr>
        <w:t>should be attached to the email and the original needs to be given to the pharmacy within 72hours as per the emergency supply at request of a prescriber regulations.</w:t>
      </w:r>
    </w:p>
    <w:p w14:paraId="58FA4B44" w14:textId="77777777" w:rsidR="00EF7E98" w:rsidRDefault="00EF7E98" w:rsidP="00EF7E98">
      <w:pPr>
        <w:rPr>
          <w:rFonts w:cs="Times New Roman"/>
          <w:sz w:val="24"/>
          <w:szCs w:val="24"/>
          <w:u w:val="single"/>
        </w:rPr>
      </w:pPr>
      <w:r>
        <w:rPr>
          <w:sz w:val="24"/>
          <w:szCs w:val="24"/>
          <w:u w:val="single"/>
        </w:rPr>
        <w:t>Serial Prescribing</w:t>
      </w:r>
    </w:p>
    <w:p w14:paraId="15264A25" w14:textId="77777777" w:rsidR="00EF7E98" w:rsidRDefault="00EF7E98" w:rsidP="00EF7E98">
      <w:r>
        <w:lastRenderedPageBreak/>
        <w:t>Due to the increased numbers of serial prescriptions created during the summer of 2020 we are now – as expected – seeing serial prescriptions needing to be reviewed and re-started (unless inappropriate).</w:t>
      </w:r>
    </w:p>
    <w:p w14:paraId="78F72A21" w14:textId="77777777" w:rsidR="00EF7E98" w:rsidRDefault="00EF7E98" w:rsidP="00EF7E98">
      <w:r>
        <w:t xml:space="preserve">Community Pharmacies have been asked to electronically send the Treatment Summary Reports (TSRs) to the patient’s GP practice rather than repeat slips. TSRs are the trigger to have a serial prescription reviewed and renewed.  These should be sent just after the patient receives the last supply which should be up to </w:t>
      </w:r>
      <w:r>
        <w:rPr>
          <w:b/>
        </w:rPr>
        <w:t>8 weeks</w:t>
      </w:r>
      <w:r>
        <w:t xml:space="preserve"> before the patient needs the renewed serial prescription.</w:t>
      </w:r>
    </w:p>
    <w:p w14:paraId="3D183923" w14:textId="77777777" w:rsidR="00EF7E98" w:rsidRDefault="00EF7E98" w:rsidP="00EF7E98">
      <w:r>
        <w:t>If the patient requires monitoring before a serial script is re-issued then this should be done within the 8 week window. However, we know a lack of capacity in treatment rooms may impact ability to renew the prescriptions in time. If this is likely to happen, please:</w:t>
      </w:r>
    </w:p>
    <w:p w14:paraId="6554C503" w14:textId="77777777" w:rsidR="00EF7E98" w:rsidRDefault="00EF7E98" w:rsidP="00EF7E98">
      <w:pPr>
        <w:numPr>
          <w:ilvl w:val="0"/>
          <w:numId w:val="13"/>
        </w:numPr>
        <w:spacing w:line="256" w:lineRule="auto"/>
      </w:pPr>
      <w:r>
        <w:rPr>
          <w:b/>
        </w:rPr>
        <w:t>Communicate</w:t>
      </w:r>
      <w:r>
        <w:t xml:space="preserve"> with the Community Pharmacy about any problems so that they can help manage patient expectations (e.g. via email to their </w:t>
      </w:r>
      <w:proofErr w:type="spellStart"/>
      <w:r>
        <w:t>NHS.Scot</w:t>
      </w:r>
      <w:proofErr w:type="spellEnd"/>
      <w:r>
        <w:t xml:space="preserve"> clinical mailbox)</w:t>
      </w:r>
    </w:p>
    <w:p w14:paraId="0016E101" w14:textId="77777777" w:rsidR="00EF7E98" w:rsidRDefault="00EF7E98" w:rsidP="00EF7E98">
      <w:pPr>
        <w:numPr>
          <w:ilvl w:val="0"/>
          <w:numId w:val="13"/>
        </w:numPr>
        <w:spacing w:line="256" w:lineRule="auto"/>
      </w:pPr>
      <w:r>
        <w:t>Issue new serial scripts for 56 weeks with a note on EMIS/VISION (other call/recall system) that they are amended or cancelled (if necessary) following the review</w:t>
      </w:r>
    </w:p>
    <w:p w14:paraId="08C29FD6" w14:textId="77777777" w:rsidR="00EF7E98" w:rsidRDefault="00EF7E98" w:rsidP="00EF7E98">
      <w:pPr>
        <w:ind w:left="720"/>
        <w:rPr>
          <w:b/>
          <w:u w:val="single"/>
        </w:rPr>
      </w:pPr>
      <w:proofErr w:type="gramStart"/>
      <w:r>
        <w:rPr>
          <w:b/>
          <w:u w:val="single"/>
        </w:rPr>
        <w:t>or</w:t>
      </w:r>
      <w:proofErr w:type="gramEnd"/>
    </w:p>
    <w:p w14:paraId="2D7A7843" w14:textId="77777777" w:rsidR="00EF7E98" w:rsidRDefault="00EF7E98" w:rsidP="00EF7E98">
      <w:pPr>
        <w:numPr>
          <w:ilvl w:val="0"/>
          <w:numId w:val="13"/>
        </w:numPr>
        <w:spacing w:line="256" w:lineRule="auto"/>
      </w:pPr>
      <w:r>
        <w:t>Issue acute prescriptions until any review is complete.</w:t>
      </w:r>
    </w:p>
    <w:p w14:paraId="4E646738" w14:textId="77777777" w:rsidR="00EF7E98" w:rsidRDefault="00EF7E98" w:rsidP="00EF7E98">
      <w:r>
        <w:t>This should stop the additional workload caused by need for urgent communication between the pharmacy and the practice due to either patient presenting for medicine or use of the unscheduled care PGD facility to provide a cycle of “repeat” medicines in an emergency.</w:t>
      </w:r>
    </w:p>
    <w:p w14:paraId="7FDD380B" w14:textId="77777777" w:rsidR="00EF7E98" w:rsidRDefault="00EF7E98" w:rsidP="00FB7555">
      <w:pPr>
        <w:pStyle w:val="Heading1"/>
        <w:spacing w:before="0"/>
        <w:rPr>
          <w:sz w:val="40"/>
          <w:szCs w:val="40"/>
        </w:rPr>
      </w:pPr>
    </w:p>
    <w:p w14:paraId="64BC0C6F" w14:textId="77777777" w:rsidR="00EF7E98" w:rsidRDefault="00EF7E98" w:rsidP="00FB7555">
      <w:pPr>
        <w:pStyle w:val="Heading1"/>
        <w:spacing w:before="0"/>
        <w:rPr>
          <w:sz w:val="40"/>
          <w:szCs w:val="40"/>
        </w:rPr>
      </w:pPr>
    </w:p>
    <w:p w14:paraId="202333FA" w14:textId="23CCC6A3" w:rsidR="009C2433" w:rsidRDefault="00246518" w:rsidP="00FB7555">
      <w:pPr>
        <w:pStyle w:val="Heading1"/>
        <w:spacing w:before="0"/>
        <w:rPr>
          <w:sz w:val="40"/>
          <w:szCs w:val="40"/>
        </w:rPr>
      </w:pPr>
      <w:r w:rsidRPr="00246518">
        <w:rPr>
          <w:sz w:val="40"/>
          <w:szCs w:val="40"/>
        </w:rPr>
        <w:t>NHS PHARMACY FIRST SCOTLAND</w:t>
      </w:r>
    </w:p>
    <w:p w14:paraId="01ED1703" w14:textId="7F987F9D" w:rsidR="00246518" w:rsidRDefault="00246518" w:rsidP="00246518"/>
    <w:p w14:paraId="207F515F" w14:textId="0D8FE0BA" w:rsidR="00246518" w:rsidRPr="00B413A1" w:rsidRDefault="00246518" w:rsidP="00246518">
      <w:pPr>
        <w:rPr>
          <w:b/>
          <w:bCs/>
          <w:sz w:val="28"/>
          <w:szCs w:val="28"/>
          <w:u w:val="single"/>
        </w:rPr>
      </w:pPr>
      <w:r w:rsidRPr="00B413A1">
        <w:rPr>
          <w:b/>
          <w:bCs/>
          <w:sz w:val="28"/>
          <w:szCs w:val="28"/>
          <w:u w:val="single"/>
        </w:rPr>
        <w:t>What is it?</w:t>
      </w:r>
    </w:p>
    <w:p w14:paraId="63ACF0B9" w14:textId="426963AE" w:rsidR="00246518" w:rsidRPr="00B413A1" w:rsidRDefault="00246518" w:rsidP="00623147">
      <w:pPr>
        <w:jc w:val="both"/>
        <w:rPr>
          <w:b/>
          <w:bCs/>
          <w:sz w:val="28"/>
          <w:szCs w:val="28"/>
          <w:u w:val="single"/>
        </w:rPr>
      </w:pPr>
      <w:r w:rsidRPr="00B413A1">
        <w:rPr>
          <w:sz w:val="28"/>
          <w:szCs w:val="28"/>
        </w:rPr>
        <w:t xml:space="preserve">NHS Pharmacy First Scotland (NHS PFS) is a consultation service designed to encourage the public to visit their community pharmacy as the first port of call for all minor illnesses and common clinical conditions. It is available in every </w:t>
      </w:r>
      <w:r w:rsidR="007539C4">
        <w:rPr>
          <w:sz w:val="28"/>
          <w:szCs w:val="28"/>
        </w:rPr>
        <w:t>Community P</w:t>
      </w:r>
      <w:r w:rsidRPr="00B413A1">
        <w:rPr>
          <w:sz w:val="28"/>
          <w:szCs w:val="28"/>
        </w:rPr>
        <w:t>harmacy in Scotland and replaces the Minor Ailments Service.</w:t>
      </w:r>
    </w:p>
    <w:p w14:paraId="1864ACB7" w14:textId="386547C6" w:rsidR="00246518" w:rsidRPr="00B413A1" w:rsidRDefault="00246518" w:rsidP="00623147">
      <w:pPr>
        <w:jc w:val="both"/>
        <w:rPr>
          <w:b/>
          <w:bCs/>
          <w:sz w:val="28"/>
          <w:szCs w:val="28"/>
          <w:u w:val="single"/>
        </w:rPr>
      </w:pPr>
      <w:r w:rsidRPr="00B413A1">
        <w:rPr>
          <w:b/>
          <w:bCs/>
          <w:sz w:val="28"/>
          <w:szCs w:val="28"/>
          <w:u w:val="single"/>
        </w:rPr>
        <w:t>Who is eligible?</w:t>
      </w:r>
    </w:p>
    <w:p w14:paraId="49A460D3" w14:textId="77777777" w:rsidR="00714A61" w:rsidRPr="00B413A1" w:rsidRDefault="00246518" w:rsidP="00623147">
      <w:pPr>
        <w:jc w:val="both"/>
        <w:rPr>
          <w:sz w:val="28"/>
          <w:szCs w:val="28"/>
        </w:rPr>
      </w:pPr>
      <w:r w:rsidRPr="00B413A1">
        <w:rPr>
          <w:sz w:val="28"/>
          <w:szCs w:val="28"/>
        </w:rPr>
        <w:t xml:space="preserve">Everyone registered with a GP practice in Scotland or the Defence Medical Services on a permanent or temporary basis (including care home residents). </w:t>
      </w:r>
    </w:p>
    <w:p w14:paraId="618525C1" w14:textId="77777777" w:rsidR="00714A61" w:rsidRPr="00B413A1" w:rsidRDefault="00246518" w:rsidP="00623147">
      <w:pPr>
        <w:jc w:val="both"/>
        <w:rPr>
          <w:sz w:val="28"/>
          <w:szCs w:val="28"/>
        </w:rPr>
      </w:pPr>
      <w:r w:rsidRPr="00B413A1">
        <w:rPr>
          <w:sz w:val="28"/>
          <w:szCs w:val="28"/>
        </w:rPr>
        <w:t xml:space="preserve">People who live in Scotland (including gypsy or travellers / asylum seeker or dependant of an asylum seeker). </w:t>
      </w:r>
    </w:p>
    <w:p w14:paraId="5137E457" w14:textId="4041D1F4" w:rsidR="00714A61" w:rsidRPr="00B413A1" w:rsidRDefault="00246518" w:rsidP="00623147">
      <w:pPr>
        <w:jc w:val="both"/>
        <w:rPr>
          <w:b/>
          <w:i/>
          <w:iCs/>
          <w:sz w:val="28"/>
          <w:szCs w:val="28"/>
        </w:rPr>
      </w:pPr>
      <w:r w:rsidRPr="00B413A1">
        <w:rPr>
          <w:b/>
          <w:i/>
          <w:iCs/>
          <w:sz w:val="28"/>
          <w:szCs w:val="28"/>
        </w:rPr>
        <w:t>Visitors to Scotland are excluded.</w:t>
      </w:r>
    </w:p>
    <w:p w14:paraId="70D57537" w14:textId="77777777" w:rsidR="00D9467B" w:rsidRDefault="00581048" w:rsidP="00581048">
      <w:pPr>
        <w:autoSpaceDE w:val="0"/>
        <w:autoSpaceDN w:val="0"/>
        <w:adjustRightInd w:val="0"/>
        <w:spacing w:after="0" w:line="240" w:lineRule="auto"/>
        <w:rPr>
          <w:rFonts w:cstheme="minorHAnsi"/>
          <w:b/>
          <w:bCs/>
          <w:sz w:val="28"/>
          <w:szCs w:val="28"/>
        </w:rPr>
      </w:pPr>
      <w:r w:rsidRPr="00581048">
        <w:rPr>
          <w:rFonts w:cstheme="minorHAnsi"/>
          <w:b/>
          <w:bCs/>
          <w:sz w:val="28"/>
          <w:szCs w:val="28"/>
        </w:rPr>
        <w:lastRenderedPageBreak/>
        <w:t>The narrative around the service nationally is intent</w:t>
      </w:r>
      <w:r>
        <w:rPr>
          <w:rFonts w:cstheme="minorHAnsi"/>
          <w:b/>
          <w:bCs/>
          <w:sz w:val="28"/>
          <w:szCs w:val="28"/>
        </w:rPr>
        <w:t xml:space="preserve">ionally designed not to set the </w:t>
      </w:r>
      <w:r w:rsidRPr="00581048">
        <w:rPr>
          <w:rFonts w:cstheme="minorHAnsi"/>
          <w:b/>
          <w:bCs/>
          <w:sz w:val="28"/>
          <w:szCs w:val="28"/>
        </w:rPr>
        <w:t>expectation that a consultation will result in supply of</w:t>
      </w:r>
      <w:r w:rsidR="00D9467B">
        <w:rPr>
          <w:rFonts w:cstheme="minorHAnsi"/>
          <w:b/>
          <w:bCs/>
          <w:sz w:val="28"/>
          <w:szCs w:val="28"/>
        </w:rPr>
        <w:t xml:space="preserve"> medication, and this messaging</w:t>
      </w:r>
    </w:p>
    <w:p w14:paraId="023AA5CA" w14:textId="393412C6" w:rsidR="00592C7D" w:rsidRPr="00581048" w:rsidRDefault="00581048" w:rsidP="00581048">
      <w:pPr>
        <w:autoSpaceDE w:val="0"/>
        <w:autoSpaceDN w:val="0"/>
        <w:adjustRightInd w:val="0"/>
        <w:spacing w:after="0" w:line="240" w:lineRule="auto"/>
        <w:rPr>
          <w:rFonts w:cstheme="minorHAnsi"/>
          <w:b/>
          <w:bCs/>
          <w:sz w:val="28"/>
          <w:szCs w:val="28"/>
        </w:rPr>
      </w:pPr>
      <w:proofErr w:type="gramStart"/>
      <w:r w:rsidRPr="00581048">
        <w:rPr>
          <w:rFonts w:cstheme="minorHAnsi"/>
          <w:b/>
          <w:bCs/>
          <w:sz w:val="28"/>
          <w:szCs w:val="28"/>
        </w:rPr>
        <w:t>should</w:t>
      </w:r>
      <w:proofErr w:type="gramEnd"/>
      <w:r w:rsidRPr="00581048">
        <w:rPr>
          <w:rFonts w:cstheme="minorHAnsi"/>
          <w:b/>
          <w:bCs/>
          <w:sz w:val="28"/>
          <w:szCs w:val="28"/>
        </w:rPr>
        <w:t xml:space="preserve"> be carried through locally as well.</w:t>
      </w:r>
    </w:p>
    <w:p w14:paraId="2248E98A" w14:textId="382048A5" w:rsidR="00714A61" w:rsidRPr="00B413A1" w:rsidRDefault="00714A61" w:rsidP="00623147">
      <w:pPr>
        <w:spacing w:before="240"/>
        <w:jc w:val="both"/>
        <w:rPr>
          <w:b/>
          <w:bCs/>
          <w:sz w:val="28"/>
          <w:szCs w:val="28"/>
          <w:u w:val="single"/>
        </w:rPr>
      </w:pPr>
      <w:r w:rsidRPr="00B413A1">
        <w:rPr>
          <w:b/>
          <w:bCs/>
          <w:sz w:val="28"/>
          <w:szCs w:val="28"/>
          <w:u w:val="single"/>
        </w:rPr>
        <w:t>What are the possible outcomes?</w:t>
      </w:r>
    </w:p>
    <w:p w14:paraId="498FB4F6" w14:textId="216835D3" w:rsidR="00714A61" w:rsidRPr="00B413A1" w:rsidRDefault="00714A61" w:rsidP="00623147">
      <w:pPr>
        <w:jc w:val="both"/>
        <w:rPr>
          <w:sz w:val="28"/>
          <w:szCs w:val="28"/>
        </w:rPr>
      </w:pPr>
      <w:r w:rsidRPr="00B413A1">
        <w:rPr>
          <w:sz w:val="28"/>
          <w:szCs w:val="28"/>
        </w:rPr>
        <w:t>The patient (or patient representative) will consult with a member of the pharmacy team, this can be in person or over the phone. The pharmacy team will assess their symptoms resulting in one or more of the following outcomes:</w:t>
      </w:r>
    </w:p>
    <w:p w14:paraId="35E5A436" w14:textId="3FAAFDDC" w:rsidR="00714A61" w:rsidRPr="00B413A1" w:rsidRDefault="00714A61" w:rsidP="00623147">
      <w:pPr>
        <w:pStyle w:val="ListParagraph"/>
        <w:numPr>
          <w:ilvl w:val="0"/>
          <w:numId w:val="1"/>
        </w:numPr>
        <w:jc w:val="both"/>
        <w:rPr>
          <w:sz w:val="28"/>
          <w:szCs w:val="28"/>
          <w:u w:val="single"/>
        </w:rPr>
      </w:pPr>
      <w:r w:rsidRPr="00B413A1">
        <w:rPr>
          <w:sz w:val="28"/>
          <w:szCs w:val="28"/>
        </w:rPr>
        <w:t xml:space="preserve">Providing self-care advice to allow patient to manage their symptoms </w:t>
      </w:r>
      <w:r w:rsidR="007306B5" w:rsidRPr="00B413A1">
        <w:rPr>
          <w:sz w:val="28"/>
          <w:szCs w:val="28"/>
        </w:rPr>
        <w:t>themsel</w:t>
      </w:r>
      <w:r w:rsidR="007306B5">
        <w:rPr>
          <w:sz w:val="28"/>
          <w:szCs w:val="28"/>
        </w:rPr>
        <w:t>ves</w:t>
      </w:r>
    </w:p>
    <w:p w14:paraId="359209E1" w14:textId="6CD32D9A" w:rsidR="00714A61" w:rsidRPr="00B413A1" w:rsidRDefault="00714A61" w:rsidP="00623147">
      <w:pPr>
        <w:pStyle w:val="ListParagraph"/>
        <w:numPr>
          <w:ilvl w:val="0"/>
          <w:numId w:val="1"/>
        </w:numPr>
        <w:jc w:val="both"/>
        <w:rPr>
          <w:sz w:val="28"/>
          <w:szCs w:val="28"/>
          <w:u w:val="single"/>
        </w:rPr>
      </w:pPr>
      <w:r w:rsidRPr="00B413A1">
        <w:rPr>
          <w:sz w:val="28"/>
          <w:szCs w:val="28"/>
        </w:rPr>
        <w:t>Supply treatment for symptoms either via NHS or for the patient to purchase</w:t>
      </w:r>
    </w:p>
    <w:p w14:paraId="1BFC4DBD" w14:textId="7C8967AD" w:rsidR="00714A61" w:rsidRPr="00B413A1" w:rsidRDefault="00714A61" w:rsidP="00623147">
      <w:pPr>
        <w:pStyle w:val="ListParagraph"/>
        <w:numPr>
          <w:ilvl w:val="0"/>
          <w:numId w:val="1"/>
        </w:numPr>
        <w:jc w:val="both"/>
        <w:rPr>
          <w:sz w:val="28"/>
          <w:szCs w:val="28"/>
          <w:u w:val="single"/>
        </w:rPr>
      </w:pPr>
      <w:r w:rsidRPr="00B413A1">
        <w:rPr>
          <w:sz w:val="28"/>
          <w:szCs w:val="28"/>
        </w:rPr>
        <w:t>Refer the patient to another appropriate healthcare professional</w:t>
      </w:r>
    </w:p>
    <w:p w14:paraId="48999A6F" w14:textId="77777777" w:rsidR="00774420" w:rsidRDefault="00774420" w:rsidP="00774420">
      <w:pPr>
        <w:spacing w:after="0"/>
        <w:rPr>
          <w:bCs/>
          <w:sz w:val="28"/>
          <w:szCs w:val="28"/>
        </w:rPr>
      </w:pPr>
    </w:p>
    <w:p w14:paraId="6F4BAA83" w14:textId="2102EC07" w:rsidR="00774420" w:rsidRPr="00774420" w:rsidRDefault="00774420" w:rsidP="00774420">
      <w:pPr>
        <w:spacing w:after="0"/>
        <w:rPr>
          <w:bCs/>
          <w:sz w:val="28"/>
          <w:szCs w:val="28"/>
        </w:rPr>
      </w:pPr>
      <w:r w:rsidRPr="00774420">
        <w:rPr>
          <w:bCs/>
          <w:sz w:val="28"/>
          <w:szCs w:val="28"/>
        </w:rPr>
        <w:t xml:space="preserve">There are some medicines available via PGD for the treatment of </w:t>
      </w:r>
      <w:r>
        <w:rPr>
          <w:bCs/>
          <w:sz w:val="28"/>
          <w:szCs w:val="28"/>
        </w:rPr>
        <w:t>UTI, skin infections, impetigo and shingles as below.</w:t>
      </w:r>
    </w:p>
    <w:p w14:paraId="44D962F8" w14:textId="77777777" w:rsidR="00774420" w:rsidRPr="00774420" w:rsidRDefault="00774420" w:rsidP="00774420">
      <w:pPr>
        <w:pStyle w:val="ListParagraph"/>
        <w:numPr>
          <w:ilvl w:val="0"/>
          <w:numId w:val="1"/>
        </w:numPr>
        <w:spacing w:after="0"/>
        <w:rPr>
          <w:b/>
          <w:bCs/>
          <w:sz w:val="28"/>
          <w:szCs w:val="28"/>
        </w:rPr>
      </w:pPr>
      <w:r w:rsidRPr="00774420">
        <w:rPr>
          <w:b/>
          <w:bCs/>
          <w:sz w:val="28"/>
          <w:szCs w:val="28"/>
        </w:rPr>
        <w:t>NB there are strict exclusion criteria so please do not refer patients who will be excluded (see Table 1 below)</w:t>
      </w:r>
    </w:p>
    <w:p w14:paraId="1789EA63" w14:textId="77777777" w:rsidR="007D323C" w:rsidRPr="00B413A1" w:rsidRDefault="007D323C" w:rsidP="00714A61">
      <w:pPr>
        <w:rPr>
          <w:rFonts w:cstheme="minorHAnsi"/>
          <w:b/>
          <w:bCs/>
          <w:sz w:val="28"/>
          <w:szCs w:val="28"/>
        </w:rPr>
      </w:pPr>
    </w:p>
    <w:p w14:paraId="325C46BF" w14:textId="1610276D" w:rsidR="007D323C" w:rsidRPr="00B413A1" w:rsidRDefault="00592C7D" w:rsidP="00714A61">
      <w:pPr>
        <w:rPr>
          <w:bCs/>
          <w:u w:val="single"/>
        </w:rPr>
      </w:pPr>
      <w:r w:rsidRPr="007D323C">
        <w:rPr>
          <w:rFonts w:cstheme="minorHAnsi"/>
          <w:bCs/>
          <w:sz w:val="28"/>
          <w:szCs w:val="28"/>
        </w:rPr>
        <w:lastRenderedPageBreak/>
        <w:t xml:space="preserve">Unlike the Minor Ailments Scheme only those medicines that appear on the </w:t>
      </w:r>
      <w:hyperlink r:id="rId5" w:history="1">
        <w:r w:rsidRPr="007D323C">
          <w:rPr>
            <w:rStyle w:val="Hyperlink"/>
            <w:rFonts w:cstheme="minorHAnsi"/>
            <w:bCs/>
            <w:sz w:val="28"/>
            <w:szCs w:val="28"/>
          </w:rPr>
          <w:t>Pharmacy First Approved List</w:t>
        </w:r>
      </w:hyperlink>
      <w:r w:rsidRPr="007D323C">
        <w:rPr>
          <w:rFonts w:cstheme="minorHAnsi"/>
          <w:bCs/>
          <w:sz w:val="28"/>
          <w:szCs w:val="28"/>
        </w:rPr>
        <w:t xml:space="preserve"> are available to be supplied as part of the patient’s treatment (see Table 2 for the conditions included).</w:t>
      </w:r>
    </w:p>
    <w:p w14:paraId="5A27F622" w14:textId="77777777" w:rsidR="007D323C" w:rsidRDefault="007D323C" w:rsidP="00714A61">
      <w:pPr>
        <w:rPr>
          <w:b/>
          <w:bCs/>
          <w:sz w:val="24"/>
          <w:szCs w:val="24"/>
        </w:rPr>
      </w:pPr>
    </w:p>
    <w:p w14:paraId="731804B4" w14:textId="77777777" w:rsidR="007D323C" w:rsidRDefault="007D323C" w:rsidP="00714A61">
      <w:pPr>
        <w:rPr>
          <w:b/>
          <w:bCs/>
          <w:sz w:val="24"/>
          <w:szCs w:val="24"/>
        </w:rPr>
      </w:pPr>
    </w:p>
    <w:p w14:paraId="7B7973BC" w14:textId="77777777" w:rsidR="007D323C" w:rsidRDefault="007D323C" w:rsidP="00714A61">
      <w:pPr>
        <w:rPr>
          <w:b/>
          <w:bCs/>
          <w:sz w:val="24"/>
          <w:szCs w:val="24"/>
        </w:rPr>
      </w:pPr>
    </w:p>
    <w:p w14:paraId="1A48EFB0" w14:textId="180744C3" w:rsidR="00592C7D" w:rsidRPr="00D9467B" w:rsidRDefault="00592C7D" w:rsidP="00714A61">
      <w:pPr>
        <w:rPr>
          <w:b/>
          <w:bCs/>
          <w:sz w:val="24"/>
          <w:szCs w:val="24"/>
        </w:rPr>
      </w:pPr>
      <w:r>
        <w:rPr>
          <w:b/>
          <w:bCs/>
          <w:sz w:val="24"/>
          <w:szCs w:val="24"/>
        </w:rPr>
        <w:t>Table 1</w:t>
      </w:r>
      <w:r w:rsidR="007D323C">
        <w:rPr>
          <w:b/>
          <w:bCs/>
          <w:sz w:val="24"/>
          <w:szCs w:val="24"/>
        </w:rPr>
        <w:t xml:space="preserve"> – Conditions where a PGD exists for treatment</w:t>
      </w:r>
    </w:p>
    <w:tbl>
      <w:tblPr>
        <w:tblStyle w:val="TableGrid"/>
        <w:tblW w:w="10768" w:type="dxa"/>
        <w:tblLook w:val="04A0" w:firstRow="1" w:lastRow="0" w:firstColumn="1" w:lastColumn="0" w:noHBand="0" w:noVBand="1"/>
      </w:tblPr>
      <w:tblGrid>
        <w:gridCol w:w="1696"/>
        <w:gridCol w:w="9072"/>
      </w:tblGrid>
      <w:tr w:rsidR="00495137" w14:paraId="15F7262C" w14:textId="77777777" w:rsidTr="00D9467B">
        <w:tc>
          <w:tcPr>
            <w:tcW w:w="1696" w:type="dxa"/>
          </w:tcPr>
          <w:p w14:paraId="68698D7A" w14:textId="77777777" w:rsidR="00495137" w:rsidRDefault="00495137" w:rsidP="00C9294C">
            <w:r w:rsidRPr="00623147">
              <w:rPr>
                <w:b/>
                <w:bCs/>
              </w:rPr>
              <w:t>Condition</w:t>
            </w:r>
          </w:p>
        </w:tc>
        <w:tc>
          <w:tcPr>
            <w:tcW w:w="9072" w:type="dxa"/>
          </w:tcPr>
          <w:p w14:paraId="34656D98" w14:textId="77777777" w:rsidR="00495137" w:rsidRDefault="00495137" w:rsidP="00C9294C">
            <w:pPr>
              <w:rPr>
                <w:b/>
                <w:bCs/>
              </w:rPr>
            </w:pPr>
            <w:r w:rsidRPr="00623147">
              <w:rPr>
                <w:b/>
                <w:bCs/>
              </w:rPr>
              <w:t>Patients potentially suitable for referral to NHS Pharmacy First Scotland</w:t>
            </w:r>
          </w:p>
          <w:p w14:paraId="322A25C1" w14:textId="77777777" w:rsidR="00495137" w:rsidRDefault="00495137" w:rsidP="00C9294C"/>
        </w:tc>
      </w:tr>
      <w:tr w:rsidR="00495137" w14:paraId="5462973E" w14:textId="77777777" w:rsidTr="00D9467B">
        <w:tc>
          <w:tcPr>
            <w:tcW w:w="1696" w:type="dxa"/>
          </w:tcPr>
          <w:p w14:paraId="45801D48" w14:textId="77777777" w:rsidR="00495137" w:rsidRDefault="00495137" w:rsidP="00C9294C">
            <w:r>
              <w:t xml:space="preserve">Cystitis </w:t>
            </w:r>
            <w:r w:rsidRPr="00581048">
              <w:rPr>
                <w:b/>
              </w:rPr>
              <w:t>(UTI)</w:t>
            </w:r>
          </w:p>
        </w:tc>
        <w:tc>
          <w:tcPr>
            <w:tcW w:w="9072" w:type="dxa"/>
          </w:tcPr>
          <w:p w14:paraId="5EF02EF1" w14:textId="77777777" w:rsidR="00495137" w:rsidRDefault="00495137" w:rsidP="00C9294C">
            <w:r>
              <w:t xml:space="preserve">Women ages 16 – 65 </w:t>
            </w:r>
            <w:r w:rsidRPr="00581048">
              <w:rPr>
                <w:b/>
              </w:rPr>
              <w:t>except</w:t>
            </w:r>
            <w:r>
              <w:t>:</w:t>
            </w:r>
          </w:p>
          <w:p w14:paraId="3F45C0F2" w14:textId="77777777" w:rsidR="00495137" w:rsidRDefault="00495137" w:rsidP="00C9294C">
            <w:pPr>
              <w:pStyle w:val="ListParagraph"/>
              <w:numPr>
                <w:ilvl w:val="0"/>
                <w:numId w:val="10"/>
              </w:numPr>
            </w:pPr>
            <w:r>
              <w:t>Pregnant or breastfeeding women</w:t>
            </w:r>
          </w:p>
          <w:p w14:paraId="7207E53E" w14:textId="77777777" w:rsidR="00495137" w:rsidRDefault="00495137" w:rsidP="00C9294C">
            <w:pPr>
              <w:pStyle w:val="ListParagraph"/>
              <w:numPr>
                <w:ilvl w:val="0"/>
                <w:numId w:val="10"/>
              </w:numPr>
            </w:pPr>
            <w:r>
              <w:t>Diabetes</w:t>
            </w:r>
          </w:p>
          <w:p w14:paraId="33F279DB" w14:textId="77777777" w:rsidR="00495137" w:rsidRDefault="00495137" w:rsidP="00C9294C">
            <w:pPr>
              <w:pStyle w:val="ListParagraph"/>
              <w:numPr>
                <w:ilvl w:val="0"/>
                <w:numId w:val="10"/>
              </w:numPr>
            </w:pPr>
            <w:r>
              <w:t>Catheterised patients</w:t>
            </w:r>
          </w:p>
          <w:p w14:paraId="7839839F" w14:textId="77777777" w:rsidR="00495137" w:rsidRDefault="00495137" w:rsidP="00C9294C">
            <w:pPr>
              <w:pStyle w:val="ListParagraph"/>
              <w:numPr>
                <w:ilvl w:val="0"/>
                <w:numId w:val="10"/>
              </w:numPr>
            </w:pPr>
            <w:r>
              <w:t>Immunocompromised patients</w:t>
            </w:r>
          </w:p>
          <w:p w14:paraId="517B6C63" w14:textId="77777777" w:rsidR="00495137" w:rsidRDefault="00495137" w:rsidP="00C9294C">
            <w:pPr>
              <w:pStyle w:val="ListParagraph"/>
              <w:numPr>
                <w:ilvl w:val="0"/>
                <w:numId w:val="10"/>
              </w:numPr>
            </w:pPr>
            <w:r>
              <w:t>Vaginal itch/discharge</w:t>
            </w:r>
          </w:p>
          <w:p w14:paraId="06F9F519" w14:textId="77777777" w:rsidR="00495137" w:rsidRDefault="00495137" w:rsidP="00C9294C">
            <w:pPr>
              <w:pStyle w:val="ListParagraph"/>
              <w:numPr>
                <w:ilvl w:val="0"/>
                <w:numId w:val="10"/>
              </w:numPr>
            </w:pPr>
            <w:r>
              <w:t>Blood in the urine</w:t>
            </w:r>
          </w:p>
          <w:p w14:paraId="3E3C7F79" w14:textId="77777777" w:rsidR="00495137" w:rsidRDefault="00495137" w:rsidP="00C9294C">
            <w:pPr>
              <w:pStyle w:val="ListParagraph"/>
              <w:numPr>
                <w:ilvl w:val="0"/>
                <w:numId w:val="10"/>
              </w:numPr>
            </w:pPr>
            <w:r>
              <w:t>Confused patients</w:t>
            </w:r>
          </w:p>
          <w:p w14:paraId="31F3120F" w14:textId="77777777" w:rsidR="00495137" w:rsidRDefault="00495137" w:rsidP="00C9294C">
            <w:pPr>
              <w:pStyle w:val="ListParagraph"/>
              <w:numPr>
                <w:ilvl w:val="0"/>
                <w:numId w:val="10"/>
              </w:numPr>
            </w:pPr>
            <w:r>
              <w:t>Symptoms for &gt; 7 days</w:t>
            </w:r>
          </w:p>
          <w:p w14:paraId="55089FC4" w14:textId="77777777" w:rsidR="00495137" w:rsidRDefault="00495137" w:rsidP="00C9294C">
            <w:pPr>
              <w:pStyle w:val="ListParagraph"/>
              <w:numPr>
                <w:ilvl w:val="0"/>
                <w:numId w:val="10"/>
              </w:numPr>
            </w:pPr>
            <w:r>
              <w:t>Had antibiotic treatment for UTI in last month</w:t>
            </w:r>
          </w:p>
          <w:p w14:paraId="46E605A2" w14:textId="77777777" w:rsidR="00495137" w:rsidRDefault="00495137" w:rsidP="00C9294C">
            <w:pPr>
              <w:pStyle w:val="ListParagraph"/>
              <w:numPr>
                <w:ilvl w:val="0"/>
                <w:numId w:val="10"/>
              </w:numPr>
            </w:pPr>
            <w:r>
              <w:t>2 or more UTI episodes in last 6 months</w:t>
            </w:r>
          </w:p>
          <w:p w14:paraId="0172F31E" w14:textId="02361803" w:rsidR="00495137" w:rsidRDefault="00495137" w:rsidP="00C9294C">
            <w:pPr>
              <w:pStyle w:val="ListParagraph"/>
              <w:numPr>
                <w:ilvl w:val="0"/>
                <w:numId w:val="10"/>
              </w:numPr>
            </w:pPr>
            <w:r>
              <w:t xml:space="preserve">3 or </w:t>
            </w:r>
            <w:r w:rsidR="007306B5">
              <w:t xml:space="preserve">more </w:t>
            </w:r>
            <w:r>
              <w:t>UTI episodes in last 12 months</w:t>
            </w:r>
          </w:p>
          <w:p w14:paraId="31E58284" w14:textId="77777777" w:rsidR="00495137" w:rsidRDefault="00495137" w:rsidP="00C9294C">
            <w:pPr>
              <w:pStyle w:val="ListParagraph"/>
              <w:numPr>
                <w:ilvl w:val="0"/>
                <w:numId w:val="10"/>
              </w:numPr>
            </w:pPr>
            <w:r>
              <w:t>Taking a regular antibiotic to prevent UTIs</w:t>
            </w:r>
          </w:p>
          <w:p w14:paraId="4CCCD9C5" w14:textId="77777777" w:rsidR="00495137" w:rsidRDefault="00495137" w:rsidP="00C9294C">
            <w:pPr>
              <w:pStyle w:val="ListParagraph"/>
              <w:numPr>
                <w:ilvl w:val="0"/>
                <w:numId w:val="10"/>
              </w:numPr>
            </w:pPr>
            <w:r>
              <w:t>Symptoms suggesting an upper urinary tract infection such as:</w:t>
            </w:r>
          </w:p>
          <w:p w14:paraId="69CB3B69" w14:textId="77777777" w:rsidR="00495137" w:rsidRDefault="00495137" w:rsidP="007539C4">
            <w:pPr>
              <w:pStyle w:val="ListParagraph"/>
            </w:pPr>
            <w:r>
              <w:t>Fever, chills, nausea, vomiting, acute onset back pain, loin pain, flank tenderness or systemically unwell</w:t>
            </w:r>
          </w:p>
          <w:p w14:paraId="34B30F66" w14:textId="77777777" w:rsidR="00495137" w:rsidRDefault="00495137" w:rsidP="00C9294C"/>
        </w:tc>
      </w:tr>
      <w:tr w:rsidR="00495137" w14:paraId="1F7AED37" w14:textId="77777777" w:rsidTr="00D9467B">
        <w:tc>
          <w:tcPr>
            <w:tcW w:w="1696" w:type="dxa"/>
          </w:tcPr>
          <w:p w14:paraId="65510189" w14:textId="77777777" w:rsidR="00495137" w:rsidRDefault="00495137" w:rsidP="00C9294C">
            <w:r w:rsidRPr="00581048">
              <w:rPr>
                <w:b/>
              </w:rPr>
              <w:t>Impetigo</w:t>
            </w:r>
          </w:p>
        </w:tc>
        <w:tc>
          <w:tcPr>
            <w:tcW w:w="9072" w:type="dxa"/>
          </w:tcPr>
          <w:p w14:paraId="6FB4C0B4" w14:textId="77777777" w:rsidR="00495137" w:rsidRDefault="00495137" w:rsidP="00C9294C">
            <w:r>
              <w:t xml:space="preserve">All patients over 2 years old </w:t>
            </w:r>
            <w:r w:rsidRPr="007D323C">
              <w:rPr>
                <w:b/>
              </w:rPr>
              <w:t>except</w:t>
            </w:r>
            <w:r>
              <w:t>:</w:t>
            </w:r>
          </w:p>
          <w:p w14:paraId="0451B4BA" w14:textId="77777777" w:rsidR="00495137" w:rsidRDefault="00495137" w:rsidP="00C9294C">
            <w:pPr>
              <w:pStyle w:val="ListParagraph"/>
              <w:numPr>
                <w:ilvl w:val="0"/>
                <w:numId w:val="8"/>
              </w:numPr>
            </w:pPr>
            <w:r>
              <w:t>Impetigo in last 3 months</w:t>
            </w:r>
          </w:p>
          <w:p w14:paraId="4D8EF672" w14:textId="77777777" w:rsidR="00495137" w:rsidRDefault="00495137" w:rsidP="00C9294C">
            <w:pPr>
              <w:pStyle w:val="ListParagraph"/>
              <w:numPr>
                <w:ilvl w:val="0"/>
                <w:numId w:val="8"/>
              </w:numPr>
            </w:pPr>
            <w:r>
              <w:t>Multiple sites of skin infection</w:t>
            </w:r>
          </w:p>
          <w:p w14:paraId="00915A12" w14:textId="77777777" w:rsidR="00495137" w:rsidRDefault="00495137" w:rsidP="00C9294C">
            <w:pPr>
              <w:pStyle w:val="ListParagraph"/>
              <w:numPr>
                <w:ilvl w:val="0"/>
                <w:numId w:val="8"/>
              </w:numPr>
            </w:pPr>
            <w:r>
              <w:t>Underlying skin condition at same site as impetigo</w:t>
            </w:r>
          </w:p>
          <w:p w14:paraId="6339122B" w14:textId="77777777" w:rsidR="00495137" w:rsidRDefault="00495137" w:rsidP="00C9294C">
            <w:pPr>
              <w:pStyle w:val="ListParagraph"/>
              <w:numPr>
                <w:ilvl w:val="0"/>
                <w:numId w:val="8"/>
              </w:numPr>
            </w:pPr>
            <w:r>
              <w:t>Systemically unwell</w:t>
            </w:r>
          </w:p>
        </w:tc>
      </w:tr>
      <w:tr w:rsidR="00495137" w14:paraId="6705AD07" w14:textId="77777777" w:rsidTr="00D9467B">
        <w:tc>
          <w:tcPr>
            <w:tcW w:w="1696" w:type="dxa"/>
          </w:tcPr>
          <w:p w14:paraId="49EB2402" w14:textId="77777777" w:rsidR="00495137" w:rsidRPr="00581048" w:rsidRDefault="00495137" w:rsidP="00C9294C">
            <w:pPr>
              <w:rPr>
                <w:b/>
              </w:rPr>
            </w:pPr>
            <w:r w:rsidRPr="00581048">
              <w:rPr>
                <w:b/>
              </w:rPr>
              <w:t>Shingles</w:t>
            </w:r>
          </w:p>
          <w:p w14:paraId="5CD13013" w14:textId="77777777" w:rsidR="00495137" w:rsidRDefault="00495137" w:rsidP="00C9294C"/>
        </w:tc>
        <w:tc>
          <w:tcPr>
            <w:tcW w:w="9072" w:type="dxa"/>
          </w:tcPr>
          <w:p w14:paraId="3CA5BBA2" w14:textId="4DC7A8A0" w:rsidR="00495137" w:rsidRPr="00495137" w:rsidRDefault="00495137" w:rsidP="00495137">
            <w:pPr>
              <w:autoSpaceDE w:val="0"/>
              <w:autoSpaceDN w:val="0"/>
              <w:adjustRightInd w:val="0"/>
              <w:rPr>
                <w:rFonts w:cstheme="minorHAnsi"/>
                <w:color w:val="000000"/>
              </w:rPr>
            </w:pPr>
            <w:r w:rsidRPr="00495137">
              <w:rPr>
                <w:rFonts w:cstheme="minorHAnsi"/>
                <w:color w:val="000000"/>
              </w:rPr>
              <w:lastRenderedPageBreak/>
              <w:t xml:space="preserve">All patients over 18 years </w:t>
            </w:r>
            <w:r w:rsidRPr="00495137">
              <w:rPr>
                <w:rFonts w:cstheme="minorHAnsi"/>
                <w:b/>
                <w:color w:val="000000"/>
              </w:rPr>
              <w:t>except</w:t>
            </w:r>
            <w:r>
              <w:rPr>
                <w:rFonts w:cstheme="minorHAnsi"/>
                <w:b/>
                <w:color w:val="000000"/>
              </w:rPr>
              <w:t>:</w:t>
            </w:r>
          </w:p>
          <w:p w14:paraId="08E4C02E" w14:textId="3CECC668" w:rsidR="00495137" w:rsidRP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lastRenderedPageBreak/>
              <w:t>Rash affecting head, neck, arms or legs (only rash on</w:t>
            </w:r>
            <w:r>
              <w:rPr>
                <w:rFonts w:cstheme="minorHAnsi"/>
                <w:color w:val="000000"/>
              </w:rPr>
              <w:t xml:space="preserve"> </w:t>
            </w:r>
            <w:r w:rsidRPr="00495137">
              <w:rPr>
                <w:rFonts w:cstheme="minorHAnsi"/>
                <w:color w:val="000000"/>
              </w:rPr>
              <w:t>torso can be treated on NHS PFS)</w:t>
            </w:r>
          </w:p>
          <w:p w14:paraId="1B2BA590" w14:textId="7043E41C" w:rsidR="00495137" w:rsidRPr="007539C4" w:rsidRDefault="00495137" w:rsidP="007306B5">
            <w:pPr>
              <w:pStyle w:val="ListParagraph"/>
              <w:numPr>
                <w:ilvl w:val="0"/>
                <w:numId w:val="11"/>
              </w:numPr>
              <w:autoSpaceDE w:val="0"/>
              <w:autoSpaceDN w:val="0"/>
              <w:adjustRightInd w:val="0"/>
              <w:rPr>
                <w:rFonts w:cstheme="minorHAnsi"/>
                <w:color w:val="000000"/>
              </w:rPr>
            </w:pPr>
            <w:r w:rsidRPr="00495137">
              <w:rPr>
                <w:rFonts w:cstheme="minorHAnsi"/>
                <w:color w:val="000000"/>
              </w:rPr>
              <w:t>Rash involving multiple adjacent or non-adjacent</w:t>
            </w:r>
            <w:r w:rsidR="007306B5">
              <w:rPr>
                <w:rFonts w:cstheme="minorHAnsi"/>
                <w:color w:val="000000"/>
              </w:rPr>
              <w:t xml:space="preserve"> </w:t>
            </w:r>
            <w:r w:rsidRPr="007539C4">
              <w:rPr>
                <w:rFonts w:cstheme="minorHAnsi"/>
                <w:color w:val="000000"/>
              </w:rPr>
              <w:t>dermatomes or where the rash spreads across both sides of the body</w:t>
            </w:r>
          </w:p>
          <w:p w14:paraId="4F9203AE" w14:textId="77777777" w:rsid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t>Rash present for more than 72 hours</w:t>
            </w:r>
          </w:p>
          <w:p w14:paraId="278C188D" w14:textId="77777777" w:rsid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t>Pregnant or breastfeeding women</w:t>
            </w:r>
          </w:p>
          <w:p w14:paraId="56A2CE44" w14:textId="77777777" w:rsid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t>Systemically unwell including symptoms of headache</w:t>
            </w:r>
            <w:r>
              <w:rPr>
                <w:rFonts w:cstheme="minorHAnsi"/>
                <w:color w:val="000000"/>
              </w:rPr>
              <w:t xml:space="preserve"> </w:t>
            </w:r>
            <w:r w:rsidRPr="00495137">
              <w:rPr>
                <w:rFonts w:cstheme="minorHAnsi"/>
                <w:color w:val="000000"/>
              </w:rPr>
              <w:t>or fever</w:t>
            </w:r>
          </w:p>
          <w:p w14:paraId="4F0E9693" w14:textId="77777777" w:rsid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t>Recurrent shingles (2 or more episodes in patient’s</w:t>
            </w:r>
            <w:r>
              <w:rPr>
                <w:rFonts w:cstheme="minorHAnsi"/>
                <w:color w:val="000000"/>
              </w:rPr>
              <w:t xml:space="preserve"> </w:t>
            </w:r>
            <w:r w:rsidRPr="00495137">
              <w:rPr>
                <w:rFonts w:cstheme="minorHAnsi"/>
                <w:color w:val="000000"/>
              </w:rPr>
              <w:t>lifetime)</w:t>
            </w:r>
          </w:p>
          <w:p w14:paraId="639373A0" w14:textId="77777777" w:rsidR="00495137" w:rsidRDefault="00495137" w:rsidP="00495137">
            <w:pPr>
              <w:pStyle w:val="ListParagraph"/>
              <w:numPr>
                <w:ilvl w:val="0"/>
                <w:numId w:val="11"/>
              </w:numPr>
              <w:autoSpaceDE w:val="0"/>
              <w:autoSpaceDN w:val="0"/>
              <w:adjustRightInd w:val="0"/>
              <w:rPr>
                <w:rFonts w:cstheme="minorHAnsi"/>
                <w:color w:val="000000"/>
              </w:rPr>
            </w:pPr>
            <w:r w:rsidRPr="00495137">
              <w:rPr>
                <w:rFonts w:cstheme="minorHAnsi"/>
                <w:color w:val="000000"/>
              </w:rPr>
              <w:t>Severe pain not responding to OTC analgesics</w:t>
            </w:r>
          </w:p>
          <w:p w14:paraId="696E265B" w14:textId="77777777" w:rsidR="00495137" w:rsidRDefault="00495137" w:rsidP="00495137">
            <w:pPr>
              <w:autoSpaceDE w:val="0"/>
              <w:autoSpaceDN w:val="0"/>
              <w:adjustRightInd w:val="0"/>
              <w:rPr>
                <w:rFonts w:cstheme="minorHAnsi"/>
                <w:color w:val="000000"/>
              </w:rPr>
            </w:pPr>
          </w:p>
          <w:p w14:paraId="602E3074" w14:textId="2DFFE320" w:rsidR="00495137" w:rsidRPr="00495137" w:rsidRDefault="00495137" w:rsidP="00495137">
            <w:pPr>
              <w:autoSpaceDE w:val="0"/>
              <w:autoSpaceDN w:val="0"/>
              <w:adjustRightInd w:val="0"/>
              <w:rPr>
                <w:rFonts w:cstheme="minorHAnsi"/>
                <w:sz w:val="24"/>
                <w:szCs w:val="24"/>
              </w:rPr>
            </w:pPr>
            <w:r w:rsidRPr="00495137">
              <w:rPr>
                <w:rFonts w:cstheme="minorHAnsi"/>
                <w:sz w:val="24"/>
                <w:szCs w:val="24"/>
              </w:rPr>
              <w:t>There are additional PGD exclusions for aciclovir but are relatively rare. Community pharmacists will refer a patient presenting with these back to the practice for assessment</w:t>
            </w:r>
            <w:r w:rsidR="007539C4">
              <w:rPr>
                <w:rFonts w:cstheme="minorHAnsi"/>
                <w:sz w:val="24"/>
                <w:szCs w:val="24"/>
              </w:rPr>
              <w:t>.</w:t>
            </w:r>
          </w:p>
        </w:tc>
      </w:tr>
      <w:tr w:rsidR="00495137" w14:paraId="7D1A2923" w14:textId="77777777" w:rsidTr="00D9467B">
        <w:tc>
          <w:tcPr>
            <w:tcW w:w="1696" w:type="dxa"/>
          </w:tcPr>
          <w:p w14:paraId="5FCBCC0B" w14:textId="77777777" w:rsidR="00495137" w:rsidRPr="00581048" w:rsidRDefault="00495137" w:rsidP="00C9294C">
            <w:pPr>
              <w:rPr>
                <w:b/>
              </w:rPr>
            </w:pPr>
            <w:r w:rsidRPr="00581048">
              <w:rPr>
                <w:b/>
              </w:rPr>
              <w:lastRenderedPageBreak/>
              <w:t>Skin Infections</w:t>
            </w:r>
          </w:p>
          <w:p w14:paraId="0D5E6FC4" w14:textId="74E43851" w:rsidR="00D9467B" w:rsidRPr="00D9467B" w:rsidRDefault="00D9467B" w:rsidP="00D9467B">
            <w:pPr>
              <w:autoSpaceDE w:val="0"/>
              <w:autoSpaceDN w:val="0"/>
              <w:adjustRightInd w:val="0"/>
              <w:rPr>
                <w:rFonts w:cstheme="minorHAnsi"/>
                <w:color w:val="000000"/>
              </w:rPr>
            </w:pPr>
            <w:r>
              <w:rPr>
                <w:rFonts w:ascii="Arial" w:hAnsi="Arial" w:cs="Arial"/>
                <w:color w:val="000000"/>
              </w:rPr>
              <w:t xml:space="preserve">- </w:t>
            </w:r>
            <w:r w:rsidRPr="00D9467B">
              <w:rPr>
                <w:rFonts w:cstheme="minorHAnsi"/>
                <w:color w:val="000000"/>
              </w:rPr>
              <w:t>Infected insect bite</w:t>
            </w:r>
          </w:p>
          <w:p w14:paraId="3B3FCA28" w14:textId="77777777" w:rsidR="00D9467B" w:rsidRPr="00D9467B" w:rsidRDefault="00D9467B" w:rsidP="00D9467B">
            <w:pPr>
              <w:autoSpaceDE w:val="0"/>
              <w:autoSpaceDN w:val="0"/>
              <w:adjustRightInd w:val="0"/>
              <w:rPr>
                <w:rFonts w:cstheme="minorHAnsi"/>
                <w:color w:val="000000"/>
              </w:rPr>
            </w:pPr>
          </w:p>
          <w:p w14:paraId="3FF73899" w14:textId="59F90CB5" w:rsidR="00D9467B" w:rsidRPr="00D9467B" w:rsidRDefault="00D9467B" w:rsidP="00D9467B">
            <w:pPr>
              <w:autoSpaceDE w:val="0"/>
              <w:autoSpaceDN w:val="0"/>
              <w:adjustRightInd w:val="0"/>
              <w:rPr>
                <w:rFonts w:cstheme="minorHAnsi"/>
                <w:color w:val="000000"/>
              </w:rPr>
            </w:pPr>
            <w:r w:rsidRPr="00D9467B">
              <w:rPr>
                <w:rFonts w:cstheme="minorHAnsi"/>
                <w:color w:val="000000"/>
              </w:rPr>
              <w:t xml:space="preserve">- Cellulitis (patient </w:t>
            </w:r>
            <w:r w:rsidR="007539C4">
              <w:rPr>
                <w:rFonts w:cstheme="minorHAnsi"/>
                <w:color w:val="000000"/>
              </w:rPr>
              <w:t>a</w:t>
            </w:r>
            <w:r w:rsidRPr="00D9467B">
              <w:rPr>
                <w:rFonts w:cstheme="minorHAnsi"/>
                <w:color w:val="000000"/>
              </w:rPr>
              <w:t>febrile and</w:t>
            </w:r>
          </w:p>
          <w:p w14:paraId="4D83739C" w14:textId="4FA6416E" w:rsidR="00D9467B" w:rsidRPr="00D9467B" w:rsidRDefault="00D9467B" w:rsidP="00D9467B">
            <w:pPr>
              <w:autoSpaceDE w:val="0"/>
              <w:autoSpaceDN w:val="0"/>
              <w:adjustRightInd w:val="0"/>
              <w:rPr>
                <w:rFonts w:cstheme="minorHAnsi"/>
                <w:color w:val="000000"/>
              </w:rPr>
            </w:pPr>
            <w:r w:rsidRPr="00D9467B">
              <w:rPr>
                <w:rFonts w:cstheme="minorHAnsi"/>
                <w:color w:val="000000"/>
              </w:rPr>
              <w:t>healthy other than cellulitis)</w:t>
            </w:r>
          </w:p>
          <w:p w14:paraId="783242F6" w14:textId="77777777" w:rsidR="00D9467B" w:rsidRPr="00D9467B" w:rsidRDefault="00D9467B" w:rsidP="00D9467B">
            <w:pPr>
              <w:autoSpaceDE w:val="0"/>
              <w:autoSpaceDN w:val="0"/>
              <w:adjustRightInd w:val="0"/>
              <w:rPr>
                <w:rFonts w:cstheme="minorHAnsi"/>
                <w:color w:val="000000"/>
              </w:rPr>
            </w:pPr>
          </w:p>
          <w:p w14:paraId="46F712E5" w14:textId="77777777" w:rsidR="00D9467B" w:rsidRPr="00D9467B" w:rsidRDefault="00D9467B" w:rsidP="00D9467B">
            <w:pPr>
              <w:autoSpaceDE w:val="0"/>
              <w:autoSpaceDN w:val="0"/>
              <w:adjustRightInd w:val="0"/>
              <w:rPr>
                <w:rFonts w:cstheme="minorHAnsi"/>
                <w:color w:val="000000"/>
              </w:rPr>
            </w:pPr>
            <w:r w:rsidRPr="00D9467B">
              <w:rPr>
                <w:rFonts w:cstheme="minorHAnsi"/>
                <w:color w:val="000000"/>
              </w:rPr>
              <w:t>- Acute</w:t>
            </w:r>
          </w:p>
          <w:p w14:paraId="79B31257" w14:textId="0B2134B3" w:rsidR="00495137" w:rsidRPr="007D323C" w:rsidRDefault="00D9467B" w:rsidP="007D323C">
            <w:pPr>
              <w:autoSpaceDE w:val="0"/>
              <w:autoSpaceDN w:val="0"/>
              <w:adjustRightInd w:val="0"/>
              <w:rPr>
                <w:rFonts w:cstheme="minorHAnsi"/>
                <w:color w:val="000000"/>
              </w:rPr>
            </w:pPr>
            <w:r w:rsidRPr="00D9467B">
              <w:rPr>
                <w:rFonts w:cstheme="minorHAnsi"/>
                <w:color w:val="000000"/>
              </w:rPr>
              <w:t>paronychia with signs of cellulitis</w:t>
            </w:r>
          </w:p>
        </w:tc>
        <w:tc>
          <w:tcPr>
            <w:tcW w:w="9072" w:type="dxa"/>
          </w:tcPr>
          <w:p w14:paraId="14284354" w14:textId="20F083A8" w:rsidR="00D9467B" w:rsidRPr="00D9467B" w:rsidRDefault="00D9467B" w:rsidP="00D9467B">
            <w:pPr>
              <w:tabs>
                <w:tab w:val="left" w:pos="5520"/>
              </w:tabs>
              <w:autoSpaceDE w:val="0"/>
              <w:autoSpaceDN w:val="0"/>
              <w:adjustRightInd w:val="0"/>
              <w:rPr>
                <w:rFonts w:cstheme="minorHAnsi"/>
                <w:color w:val="000000"/>
              </w:rPr>
            </w:pPr>
            <w:r w:rsidRPr="00D9467B">
              <w:rPr>
                <w:rFonts w:cstheme="minorHAnsi"/>
                <w:color w:val="000000"/>
              </w:rPr>
              <w:t xml:space="preserve">All patients over 18 years </w:t>
            </w:r>
            <w:r w:rsidRPr="007D323C">
              <w:rPr>
                <w:rFonts w:cstheme="minorHAnsi"/>
                <w:b/>
                <w:color w:val="000000"/>
              </w:rPr>
              <w:t>except:</w:t>
            </w:r>
            <w:r>
              <w:rPr>
                <w:rFonts w:cstheme="minorHAnsi"/>
                <w:color w:val="000000"/>
              </w:rPr>
              <w:tab/>
            </w:r>
          </w:p>
          <w:p w14:paraId="759D58FE" w14:textId="77777777" w:rsidR="00D9467B" w:rsidRPr="00D9467B" w:rsidRDefault="00D9467B" w:rsidP="00D9467B">
            <w:pPr>
              <w:autoSpaceDE w:val="0"/>
              <w:autoSpaceDN w:val="0"/>
              <w:adjustRightInd w:val="0"/>
              <w:rPr>
                <w:rFonts w:cstheme="minorHAnsi"/>
                <w:color w:val="000000"/>
              </w:rPr>
            </w:pPr>
          </w:p>
          <w:p w14:paraId="3AD5740D"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Cellulitis where patient has features suggestive of systemic infection e.g. febrile/feeling unwell</w:t>
            </w:r>
          </w:p>
          <w:p w14:paraId="03372082"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Cellulitis related to animal or human bite</w:t>
            </w:r>
          </w:p>
          <w:p w14:paraId="7648CC36"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Cellulitis related to surgical wound or chronic wound/leg ulcer/burns</w:t>
            </w:r>
          </w:p>
          <w:p w14:paraId="166ADF31"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Any sign of cellulitis on the face / around the eye (periorbital/ pre-septal/orbital cellulitis)</w:t>
            </w:r>
          </w:p>
          <w:p w14:paraId="2B14B3D4"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 xml:space="preserve">Cellulitis on arms or torso </w:t>
            </w:r>
            <w:r w:rsidRPr="00D9467B">
              <w:rPr>
                <w:rFonts w:cstheme="minorHAnsi"/>
                <w:b/>
                <w:bCs/>
                <w:color w:val="000000"/>
              </w:rPr>
              <w:t xml:space="preserve">NOT </w:t>
            </w:r>
            <w:r w:rsidRPr="00D9467B">
              <w:rPr>
                <w:rFonts w:cstheme="minorHAnsi"/>
                <w:color w:val="000000"/>
              </w:rPr>
              <w:t>linked to an insect bite</w:t>
            </w:r>
          </w:p>
          <w:p w14:paraId="3188BB07"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Recurrent cellulitis (more than one episode in 12 months)</w:t>
            </w:r>
          </w:p>
          <w:p w14:paraId="4BD765D1" w14:textId="77777777"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Acute paronychia with signs of cellulitis AND a collection of pus requiring drainage AND/OR in severe pain</w:t>
            </w:r>
          </w:p>
          <w:p w14:paraId="5DD3C4D1" w14:textId="2169DF04" w:rsidR="00D9467B" w:rsidRPr="00D9467B" w:rsidRDefault="00D9467B" w:rsidP="00D9467B">
            <w:pPr>
              <w:pStyle w:val="ListParagraph"/>
              <w:numPr>
                <w:ilvl w:val="0"/>
                <w:numId w:val="12"/>
              </w:numPr>
              <w:autoSpaceDE w:val="0"/>
              <w:autoSpaceDN w:val="0"/>
              <w:adjustRightInd w:val="0"/>
              <w:rPr>
                <w:rFonts w:cstheme="minorHAnsi"/>
                <w:color w:val="000000"/>
              </w:rPr>
            </w:pPr>
            <w:r w:rsidRPr="00D9467B">
              <w:rPr>
                <w:rFonts w:cstheme="minorHAnsi"/>
                <w:color w:val="000000"/>
              </w:rPr>
              <w:t>Diabetic foot infection</w:t>
            </w:r>
          </w:p>
          <w:p w14:paraId="65D37AC8" w14:textId="77777777" w:rsidR="00495137" w:rsidRDefault="00495137" w:rsidP="00C9294C"/>
        </w:tc>
      </w:tr>
    </w:tbl>
    <w:p w14:paraId="6363AAE4" w14:textId="77777777" w:rsidR="00495137" w:rsidRDefault="00495137" w:rsidP="00714A61">
      <w:pPr>
        <w:rPr>
          <w:b/>
          <w:bCs/>
          <w:u w:val="single"/>
        </w:rPr>
      </w:pPr>
    </w:p>
    <w:p w14:paraId="0825841D" w14:textId="77777777" w:rsidR="00774420" w:rsidRDefault="00774420" w:rsidP="00714A61">
      <w:pPr>
        <w:rPr>
          <w:b/>
          <w:bCs/>
          <w:u w:val="single"/>
        </w:rPr>
      </w:pPr>
    </w:p>
    <w:p w14:paraId="019FCEEA" w14:textId="585790D6" w:rsidR="00495137" w:rsidRPr="00714A61" w:rsidRDefault="007D323C" w:rsidP="00714A61">
      <w:pPr>
        <w:rPr>
          <w:b/>
          <w:bCs/>
          <w:u w:val="single"/>
        </w:rPr>
      </w:pPr>
      <w:r>
        <w:rPr>
          <w:b/>
          <w:bCs/>
          <w:u w:val="single"/>
        </w:rPr>
        <w:t>Table 2 – General Conditions</w:t>
      </w:r>
    </w:p>
    <w:tbl>
      <w:tblPr>
        <w:tblStyle w:val="TableGrid"/>
        <w:tblW w:w="10627" w:type="dxa"/>
        <w:tblLook w:val="04A0" w:firstRow="1" w:lastRow="0" w:firstColumn="1" w:lastColumn="0" w:noHBand="0" w:noVBand="1"/>
      </w:tblPr>
      <w:tblGrid>
        <w:gridCol w:w="622"/>
        <w:gridCol w:w="1500"/>
        <w:gridCol w:w="8505"/>
      </w:tblGrid>
      <w:tr w:rsidR="00AC4F77" w:rsidRPr="00774420" w14:paraId="4ECD5E5C" w14:textId="77777777" w:rsidTr="00623147">
        <w:tc>
          <w:tcPr>
            <w:tcW w:w="622" w:type="dxa"/>
            <w:shd w:val="clear" w:color="auto" w:fill="D9D9D9" w:themeFill="background1" w:themeFillShade="D9"/>
          </w:tcPr>
          <w:p w14:paraId="730E72FC" w14:textId="77777777" w:rsidR="00AC4F77" w:rsidRPr="00774420" w:rsidRDefault="00AC4F77" w:rsidP="00125F78">
            <w:pPr>
              <w:rPr>
                <w:sz w:val="20"/>
                <w:szCs w:val="20"/>
              </w:rPr>
            </w:pPr>
          </w:p>
        </w:tc>
        <w:tc>
          <w:tcPr>
            <w:tcW w:w="1500" w:type="dxa"/>
          </w:tcPr>
          <w:p w14:paraId="0C5E1EC4" w14:textId="0BE7308D" w:rsidR="00AC4F77" w:rsidRPr="00774420" w:rsidRDefault="000A539B" w:rsidP="00125F78">
            <w:pPr>
              <w:rPr>
                <w:b/>
                <w:bCs/>
                <w:sz w:val="20"/>
                <w:szCs w:val="20"/>
              </w:rPr>
            </w:pPr>
            <w:r w:rsidRPr="00774420">
              <w:rPr>
                <w:b/>
                <w:bCs/>
                <w:sz w:val="20"/>
                <w:szCs w:val="20"/>
              </w:rPr>
              <w:t>Condition</w:t>
            </w:r>
          </w:p>
        </w:tc>
        <w:tc>
          <w:tcPr>
            <w:tcW w:w="8505" w:type="dxa"/>
          </w:tcPr>
          <w:p w14:paraId="11CF0A5D" w14:textId="639892F7" w:rsidR="00AC4F77" w:rsidRPr="00774420" w:rsidRDefault="000A539B" w:rsidP="00125F78">
            <w:pPr>
              <w:rPr>
                <w:b/>
                <w:bCs/>
                <w:sz w:val="20"/>
                <w:szCs w:val="20"/>
              </w:rPr>
            </w:pPr>
            <w:r w:rsidRPr="00774420">
              <w:rPr>
                <w:b/>
                <w:bCs/>
                <w:sz w:val="20"/>
                <w:szCs w:val="20"/>
              </w:rPr>
              <w:t>Patients potentially suitable for referral to NHS Pharmacy First Scotland</w:t>
            </w:r>
          </w:p>
        </w:tc>
      </w:tr>
      <w:tr w:rsidR="00AC4F77" w:rsidRPr="00774420" w14:paraId="4B21A403" w14:textId="77777777" w:rsidTr="00623147">
        <w:tc>
          <w:tcPr>
            <w:tcW w:w="622" w:type="dxa"/>
          </w:tcPr>
          <w:p w14:paraId="37A9E1B0" w14:textId="29B4B22C" w:rsidR="00AC4F77" w:rsidRPr="00774420" w:rsidRDefault="000A539B" w:rsidP="00125F78">
            <w:pPr>
              <w:rPr>
                <w:sz w:val="20"/>
                <w:szCs w:val="20"/>
              </w:rPr>
            </w:pPr>
            <w:r w:rsidRPr="00774420">
              <w:rPr>
                <w:sz w:val="20"/>
                <w:szCs w:val="20"/>
              </w:rPr>
              <w:t>A</w:t>
            </w:r>
          </w:p>
        </w:tc>
        <w:tc>
          <w:tcPr>
            <w:tcW w:w="1500" w:type="dxa"/>
          </w:tcPr>
          <w:p w14:paraId="3FC5C581" w14:textId="4983B12C" w:rsidR="009F1506" w:rsidRPr="00774420" w:rsidRDefault="009148D0" w:rsidP="00125F78">
            <w:pPr>
              <w:rPr>
                <w:sz w:val="20"/>
                <w:szCs w:val="20"/>
              </w:rPr>
            </w:pPr>
            <w:r w:rsidRPr="00774420">
              <w:rPr>
                <w:sz w:val="20"/>
                <w:szCs w:val="20"/>
              </w:rPr>
              <w:t>Acne</w:t>
            </w:r>
          </w:p>
          <w:p w14:paraId="6698C78C" w14:textId="77777777" w:rsidR="007306B5" w:rsidRPr="00774420" w:rsidRDefault="007306B5" w:rsidP="00125F78">
            <w:pPr>
              <w:rPr>
                <w:sz w:val="20"/>
                <w:szCs w:val="20"/>
              </w:rPr>
            </w:pPr>
          </w:p>
          <w:p w14:paraId="504087C4" w14:textId="539CE744" w:rsidR="00FB0FE3" w:rsidRDefault="00FB0FE3" w:rsidP="00125F78">
            <w:pPr>
              <w:rPr>
                <w:sz w:val="20"/>
                <w:szCs w:val="20"/>
              </w:rPr>
            </w:pPr>
            <w:r w:rsidRPr="00774420">
              <w:rPr>
                <w:sz w:val="20"/>
                <w:szCs w:val="20"/>
              </w:rPr>
              <w:t>Allergies</w:t>
            </w:r>
          </w:p>
          <w:p w14:paraId="0E2C3F2C" w14:textId="77777777" w:rsidR="007306B5" w:rsidRPr="00774420" w:rsidRDefault="007306B5" w:rsidP="00125F78">
            <w:pPr>
              <w:rPr>
                <w:sz w:val="20"/>
                <w:szCs w:val="20"/>
              </w:rPr>
            </w:pPr>
          </w:p>
          <w:p w14:paraId="0B43F6DB" w14:textId="1D98CA14" w:rsidR="00FB0FE3" w:rsidRPr="00774420" w:rsidRDefault="00FB0FE3" w:rsidP="00125F78">
            <w:pPr>
              <w:rPr>
                <w:sz w:val="20"/>
                <w:szCs w:val="20"/>
              </w:rPr>
            </w:pPr>
            <w:r w:rsidRPr="00774420">
              <w:rPr>
                <w:sz w:val="20"/>
                <w:szCs w:val="20"/>
              </w:rPr>
              <w:t>Athletes Foot</w:t>
            </w:r>
          </w:p>
        </w:tc>
        <w:tc>
          <w:tcPr>
            <w:tcW w:w="8505" w:type="dxa"/>
          </w:tcPr>
          <w:p w14:paraId="138D8711" w14:textId="5C30B502" w:rsidR="00FB0FE3" w:rsidRPr="00774420" w:rsidRDefault="009F1506" w:rsidP="00125F78">
            <w:pPr>
              <w:rPr>
                <w:sz w:val="20"/>
                <w:szCs w:val="20"/>
              </w:rPr>
            </w:pPr>
            <w:r w:rsidRPr="00774420">
              <w:rPr>
                <w:sz w:val="20"/>
                <w:szCs w:val="20"/>
              </w:rPr>
              <w:t>All patients unless severe</w:t>
            </w:r>
          </w:p>
          <w:p w14:paraId="52803162" w14:textId="77777777" w:rsidR="007306B5" w:rsidRPr="00774420" w:rsidRDefault="007306B5" w:rsidP="00125F78">
            <w:pPr>
              <w:rPr>
                <w:sz w:val="20"/>
                <w:szCs w:val="20"/>
              </w:rPr>
            </w:pPr>
          </w:p>
          <w:p w14:paraId="7CC55A39" w14:textId="33AAC89B" w:rsidR="00954E09" w:rsidRPr="00774420" w:rsidRDefault="00CC1B89" w:rsidP="00125F78">
            <w:pPr>
              <w:rPr>
                <w:sz w:val="20"/>
                <w:szCs w:val="20"/>
              </w:rPr>
            </w:pPr>
            <w:r>
              <w:rPr>
                <w:sz w:val="20"/>
                <w:szCs w:val="20"/>
              </w:rPr>
              <w:t xml:space="preserve">All patients over 1 year </w:t>
            </w:r>
          </w:p>
          <w:p w14:paraId="5DC28A47" w14:textId="77777777" w:rsidR="00CC1B89" w:rsidRDefault="00CC1B89" w:rsidP="00125F78">
            <w:pPr>
              <w:rPr>
                <w:sz w:val="20"/>
                <w:szCs w:val="20"/>
              </w:rPr>
            </w:pPr>
          </w:p>
          <w:p w14:paraId="4961E1D6" w14:textId="780D718C" w:rsidR="00954E09" w:rsidRPr="00774420" w:rsidRDefault="00954E09" w:rsidP="00125F78">
            <w:pPr>
              <w:rPr>
                <w:sz w:val="20"/>
                <w:szCs w:val="20"/>
              </w:rPr>
            </w:pPr>
            <w:r w:rsidRPr="00774420">
              <w:rPr>
                <w:sz w:val="20"/>
                <w:szCs w:val="20"/>
              </w:rPr>
              <w:t>All patients</w:t>
            </w:r>
            <w:r w:rsidR="00395326" w:rsidRPr="00774420">
              <w:rPr>
                <w:sz w:val="20"/>
                <w:szCs w:val="20"/>
              </w:rPr>
              <w:t xml:space="preserve"> (caution if diabetic)</w:t>
            </w:r>
          </w:p>
        </w:tc>
      </w:tr>
      <w:tr w:rsidR="00AC4F77" w:rsidRPr="00774420" w14:paraId="426F91D5" w14:textId="77777777" w:rsidTr="00623147">
        <w:tc>
          <w:tcPr>
            <w:tcW w:w="622" w:type="dxa"/>
          </w:tcPr>
          <w:p w14:paraId="649DD5B0" w14:textId="14240EDD" w:rsidR="00AC4F77" w:rsidRPr="00774420" w:rsidRDefault="000A539B" w:rsidP="00125F78">
            <w:pPr>
              <w:rPr>
                <w:sz w:val="20"/>
                <w:szCs w:val="20"/>
              </w:rPr>
            </w:pPr>
            <w:r w:rsidRPr="00774420">
              <w:rPr>
                <w:sz w:val="20"/>
                <w:szCs w:val="20"/>
              </w:rPr>
              <w:t>B</w:t>
            </w:r>
          </w:p>
        </w:tc>
        <w:tc>
          <w:tcPr>
            <w:tcW w:w="1500" w:type="dxa"/>
          </w:tcPr>
          <w:p w14:paraId="161BAF89" w14:textId="7786961D" w:rsidR="00AC4F77" w:rsidRPr="00774420" w:rsidRDefault="004B26B4" w:rsidP="00125F78">
            <w:pPr>
              <w:rPr>
                <w:sz w:val="20"/>
                <w:szCs w:val="20"/>
              </w:rPr>
            </w:pPr>
            <w:r w:rsidRPr="00774420">
              <w:rPr>
                <w:sz w:val="20"/>
                <w:szCs w:val="20"/>
              </w:rPr>
              <w:t>Bacterial Conjunctivitis</w:t>
            </w:r>
          </w:p>
        </w:tc>
        <w:tc>
          <w:tcPr>
            <w:tcW w:w="8505" w:type="dxa"/>
          </w:tcPr>
          <w:p w14:paraId="5D9D4679" w14:textId="77777777" w:rsidR="005E1E05" w:rsidRPr="00774420" w:rsidRDefault="005E1E05" w:rsidP="00125F78">
            <w:pPr>
              <w:rPr>
                <w:b/>
                <w:bCs/>
                <w:sz w:val="20"/>
                <w:szCs w:val="20"/>
              </w:rPr>
            </w:pPr>
            <w:r w:rsidRPr="00774420">
              <w:rPr>
                <w:b/>
                <w:bCs/>
                <w:sz w:val="20"/>
                <w:szCs w:val="20"/>
              </w:rPr>
              <w:t xml:space="preserve">Refer to optometry as first option if available </w:t>
            </w:r>
          </w:p>
          <w:p w14:paraId="3F29D224" w14:textId="1319BE11" w:rsidR="00AC4F77" w:rsidRPr="00774420" w:rsidRDefault="005E1E05" w:rsidP="00125F78">
            <w:pPr>
              <w:rPr>
                <w:sz w:val="20"/>
                <w:szCs w:val="20"/>
              </w:rPr>
            </w:pPr>
            <w:r w:rsidRPr="00774420">
              <w:rPr>
                <w:sz w:val="20"/>
                <w:szCs w:val="20"/>
              </w:rPr>
              <w:t>All patients over 2 years old without pain or visual disturbance</w:t>
            </w:r>
          </w:p>
        </w:tc>
      </w:tr>
      <w:tr w:rsidR="000A539B" w:rsidRPr="00774420" w14:paraId="1F828B86" w14:textId="77777777" w:rsidTr="00623147">
        <w:tc>
          <w:tcPr>
            <w:tcW w:w="622" w:type="dxa"/>
          </w:tcPr>
          <w:p w14:paraId="600A298F" w14:textId="40213E18" w:rsidR="000A539B" w:rsidRPr="00774420" w:rsidRDefault="009148D0" w:rsidP="00125F78">
            <w:pPr>
              <w:rPr>
                <w:sz w:val="20"/>
                <w:szCs w:val="20"/>
              </w:rPr>
            </w:pPr>
            <w:r w:rsidRPr="00774420">
              <w:rPr>
                <w:sz w:val="20"/>
                <w:szCs w:val="20"/>
              </w:rPr>
              <w:t>D</w:t>
            </w:r>
          </w:p>
        </w:tc>
        <w:tc>
          <w:tcPr>
            <w:tcW w:w="1500" w:type="dxa"/>
          </w:tcPr>
          <w:p w14:paraId="27E5E73D" w14:textId="77777777" w:rsidR="000A539B" w:rsidRPr="00774420" w:rsidRDefault="00D76E85" w:rsidP="00125F78">
            <w:pPr>
              <w:rPr>
                <w:sz w:val="20"/>
                <w:szCs w:val="20"/>
              </w:rPr>
            </w:pPr>
            <w:r w:rsidRPr="00774420">
              <w:rPr>
                <w:sz w:val="20"/>
                <w:szCs w:val="20"/>
              </w:rPr>
              <w:t>Dry Eyes</w:t>
            </w:r>
          </w:p>
          <w:p w14:paraId="1AA0DB25" w14:textId="77777777" w:rsidR="00D76E85" w:rsidRPr="00774420" w:rsidRDefault="00D76E85" w:rsidP="00125F78">
            <w:pPr>
              <w:rPr>
                <w:sz w:val="20"/>
                <w:szCs w:val="20"/>
              </w:rPr>
            </w:pPr>
          </w:p>
          <w:p w14:paraId="5A71EF51" w14:textId="77777777" w:rsidR="00892629" w:rsidRPr="00774420" w:rsidRDefault="00892629" w:rsidP="00125F78">
            <w:pPr>
              <w:rPr>
                <w:sz w:val="20"/>
                <w:szCs w:val="20"/>
              </w:rPr>
            </w:pPr>
          </w:p>
          <w:p w14:paraId="00E92A05" w14:textId="3E0B8173" w:rsidR="00D76E85" w:rsidRPr="00774420" w:rsidRDefault="00D76E85" w:rsidP="00125F78">
            <w:pPr>
              <w:rPr>
                <w:sz w:val="20"/>
                <w:szCs w:val="20"/>
              </w:rPr>
            </w:pPr>
            <w:r w:rsidRPr="00774420">
              <w:rPr>
                <w:sz w:val="20"/>
                <w:szCs w:val="20"/>
              </w:rPr>
              <w:lastRenderedPageBreak/>
              <w:t>Dry Skin</w:t>
            </w:r>
          </w:p>
        </w:tc>
        <w:tc>
          <w:tcPr>
            <w:tcW w:w="8505" w:type="dxa"/>
          </w:tcPr>
          <w:p w14:paraId="42DF6D68" w14:textId="77777777" w:rsidR="00A37685" w:rsidRPr="00774420" w:rsidRDefault="00A37685" w:rsidP="00125F78">
            <w:pPr>
              <w:rPr>
                <w:b/>
                <w:bCs/>
                <w:sz w:val="20"/>
                <w:szCs w:val="20"/>
              </w:rPr>
            </w:pPr>
            <w:r w:rsidRPr="00774420">
              <w:rPr>
                <w:b/>
                <w:bCs/>
                <w:sz w:val="20"/>
                <w:szCs w:val="20"/>
              </w:rPr>
              <w:lastRenderedPageBreak/>
              <w:t xml:space="preserve">Refer to optometry as first option if available </w:t>
            </w:r>
          </w:p>
          <w:p w14:paraId="1F327DBE" w14:textId="77777777" w:rsidR="000A539B" w:rsidRPr="00774420" w:rsidRDefault="00A37685" w:rsidP="00125F78">
            <w:pPr>
              <w:rPr>
                <w:sz w:val="20"/>
                <w:szCs w:val="20"/>
              </w:rPr>
            </w:pPr>
            <w:r w:rsidRPr="00774420">
              <w:rPr>
                <w:sz w:val="20"/>
                <w:szCs w:val="20"/>
              </w:rPr>
              <w:t>All patients over 18 years old without pain or visual disturbance or chronic symptoms</w:t>
            </w:r>
          </w:p>
          <w:p w14:paraId="1F13EF75" w14:textId="77777777" w:rsidR="00892629" w:rsidRPr="00774420" w:rsidRDefault="00892629" w:rsidP="00892629">
            <w:pPr>
              <w:rPr>
                <w:sz w:val="20"/>
                <w:szCs w:val="20"/>
              </w:rPr>
            </w:pPr>
          </w:p>
          <w:p w14:paraId="0BFDB7D8" w14:textId="12A68489" w:rsidR="00892629" w:rsidRPr="00774420" w:rsidRDefault="00892629" w:rsidP="00892629">
            <w:pPr>
              <w:rPr>
                <w:sz w:val="20"/>
                <w:szCs w:val="20"/>
              </w:rPr>
            </w:pPr>
            <w:r w:rsidRPr="00774420">
              <w:rPr>
                <w:sz w:val="20"/>
                <w:szCs w:val="20"/>
              </w:rPr>
              <w:lastRenderedPageBreak/>
              <w:t>All patients except those who have failed to respond to treatment or have symptoms indicative of infection</w:t>
            </w:r>
          </w:p>
        </w:tc>
      </w:tr>
      <w:tr w:rsidR="000A539B" w:rsidRPr="00774420" w14:paraId="64324951" w14:textId="77777777" w:rsidTr="00623147">
        <w:tc>
          <w:tcPr>
            <w:tcW w:w="622" w:type="dxa"/>
          </w:tcPr>
          <w:p w14:paraId="6E2F5F8B" w14:textId="5657F556" w:rsidR="000A539B" w:rsidRPr="00774420" w:rsidRDefault="009148D0" w:rsidP="00125F78">
            <w:pPr>
              <w:rPr>
                <w:sz w:val="20"/>
                <w:szCs w:val="20"/>
              </w:rPr>
            </w:pPr>
            <w:r w:rsidRPr="00774420">
              <w:rPr>
                <w:sz w:val="20"/>
                <w:szCs w:val="20"/>
              </w:rPr>
              <w:lastRenderedPageBreak/>
              <w:t>E</w:t>
            </w:r>
          </w:p>
        </w:tc>
        <w:tc>
          <w:tcPr>
            <w:tcW w:w="1500" w:type="dxa"/>
          </w:tcPr>
          <w:p w14:paraId="19FD650F" w14:textId="77777777" w:rsidR="000A539B" w:rsidRDefault="00E60D10" w:rsidP="00125F78">
            <w:pPr>
              <w:rPr>
                <w:sz w:val="20"/>
                <w:szCs w:val="20"/>
              </w:rPr>
            </w:pPr>
            <w:r w:rsidRPr="00774420">
              <w:rPr>
                <w:sz w:val="20"/>
                <w:szCs w:val="20"/>
              </w:rPr>
              <w:t>Earache</w:t>
            </w:r>
          </w:p>
          <w:p w14:paraId="2A71411C" w14:textId="00823095" w:rsidR="00CC1B89" w:rsidRPr="00774420" w:rsidRDefault="00CC1B89" w:rsidP="00125F78">
            <w:pPr>
              <w:rPr>
                <w:sz w:val="20"/>
                <w:szCs w:val="20"/>
              </w:rPr>
            </w:pPr>
          </w:p>
        </w:tc>
        <w:tc>
          <w:tcPr>
            <w:tcW w:w="8505" w:type="dxa"/>
          </w:tcPr>
          <w:p w14:paraId="7CF26E6F" w14:textId="77777777" w:rsidR="000A539B" w:rsidRPr="00774420" w:rsidRDefault="00E60D10" w:rsidP="00125F78">
            <w:pPr>
              <w:rPr>
                <w:sz w:val="20"/>
                <w:szCs w:val="20"/>
              </w:rPr>
            </w:pPr>
            <w:r w:rsidRPr="00774420">
              <w:rPr>
                <w:sz w:val="20"/>
                <w:szCs w:val="20"/>
              </w:rPr>
              <w:t>All patients except:</w:t>
            </w:r>
          </w:p>
          <w:p w14:paraId="223B4553" w14:textId="77777777" w:rsidR="00AA28A2" w:rsidRPr="00774420" w:rsidRDefault="00AA28A2" w:rsidP="00125F78">
            <w:pPr>
              <w:pStyle w:val="ListParagraph"/>
              <w:numPr>
                <w:ilvl w:val="0"/>
                <w:numId w:val="9"/>
              </w:numPr>
              <w:rPr>
                <w:sz w:val="20"/>
                <w:szCs w:val="20"/>
              </w:rPr>
            </w:pPr>
            <w:r w:rsidRPr="00774420">
              <w:rPr>
                <w:sz w:val="20"/>
                <w:szCs w:val="20"/>
              </w:rPr>
              <w:t>Systemically unwell</w:t>
            </w:r>
          </w:p>
          <w:p w14:paraId="0E83929C" w14:textId="77777777" w:rsidR="00AA28A2" w:rsidRPr="00774420" w:rsidRDefault="00AA28A2" w:rsidP="00125F78">
            <w:pPr>
              <w:pStyle w:val="ListParagraph"/>
              <w:numPr>
                <w:ilvl w:val="0"/>
                <w:numId w:val="9"/>
              </w:numPr>
              <w:rPr>
                <w:sz w:val="20"/>
                <w:szCs w:val="20"/>
              </w:rPr>
            </w:pPr>
            <w:r w:rsidRPr="00774420">
              <w:rPr>
                <w:sz w:val="20"/>
                <w:szCs w:val="20"/>
              </w:rPr>
              <w:t>Fluid leaking from ear</w:t>
            </w:r>
          </w:p>
          <w:p w14:paraId="26C72184" w14:textId="77777777" w:rsidR="00AA28A2" w:rsidRPr="00774420" w:rsidRDefault="004C0D17" w:rsidP="00125F78">
            <w:pPr>
              <w:pStyle w:val="ListParagraph"/>
              <w:numPr>
                <w:ilvl w:val="0"/>
                <w:numId w:val="9"/>
              </w:numPr>
              <w:rPr>
                <w:sz w:val="20"/>
                <w:szCs w:val="20"/>
              </w:rPr>
            </w:pPr>
            <w:r w:rsidRPr="00774420">
              <w:rPr>
                <w:sz w:val="20"/>
                <w:szCs w:val="20"/>
              </w:rPr>
              <w:t>Swelling around ear</w:t>
            </w:r>
          </w:p>
          <w:p w14:paraId="40AD00E5" w14:textId="77777777" w:rsidR="004C0D17" w:rsidRPr="00774420" w:rsidRDefault="004C0D17" w:rsidP="00125F78">
            <w:pPr>
              <w:pStyle w:val="ListParagraph"/>
              <w:numPr>
                <w:ilvl w:val="0"/>
                <w:numId w:val="9"/>
              </w:numPr>
              <w:rPr>
                <w:sz w:val="20"/>
                <w:szCs w:val="20"/>
              </w:rPr>
            </w:pPr>
            <w:r w:rsidRPr="00774420">
              <w:rPr>
                <w:sz w:val="20"/>
                <w:szCs w:val="20"/>
              </w:rPr>
              <w:t>Hearing loss/change in hearing</w:t>
            </w:r>
          </w:p>
          <w:p w14:paraId="3A66BAC7" w14:textId="77777777" w:rsidR="004C0D17" w:rsidRPr="00774420" w:rsidRDefault="004C0D17" w:rsidP="00125F78">
            <w:pPr>
              <w:pStyle w:val="ListParagraph"/>
              <w:numPr>
                <w:ilvl w:val="0"/>
                <w:numId w:val="9"/>
              </w:numPr>
              <w:rPr>
                <w:sz w:val="20"/>
                <w:szCs w:val="20"/>
              </w:rPr>
            </w:pPr>
            <w:r w:rsidRPr="00774420">
              <w:rPr>
                <w:sz w:val="20"/>
                <w:szCs w:val="20"/>
              </w:rPr>
              <w:t>Something stuck in the ear</w:t>
            </w:r>
          </w:p>
          <w:p w14:paraId="55DB96BA" w14:textId="68CD7754" w:rsidR="004C0D17" w:rsidRPr="00774420" w:rsidRDefault="004C0D17" w:rsidP="00125F78">
            <w:pPr>
              <w:pStyle w:val="ListParagraph"/>
              <w:numPr>
                <w:ilvl w:val="0"/>
                <w:numId w:val="9"/>
              </w:numPr>
              <w:rPr>
                <w:sz w:val="20"/>
                <w:szCs w:val="20"/>
              </w:rPr>
            </w:pPr>
            <w:r w:rsidRPr="00774420">
              <w:rPr>
                <w:sz w:val="20"/>
                <w:szCs w:val="20"/>
              </w:rPr>
              <w:t>Children under 2 with pain in both ears</w:t>
            </w:r>
          </w:p>
        </w:tc>
      </w:tr>
      <w:tr w:rsidR="000A539B" w:rsidRPr="00774420" w14:paraId="4B67DBAF" w14:textId="77777777" w:rsidTr="00623147">
        <w:tc>
          <w:tcPr>
            <w:tcW w:w="622" w:type="dxa"/>
          </w:tcPr>
          <w:p w14:paraId="783389E8" w14:textId="076BBD30" w:rsidR="000A539B" w:rsidRPr="00774420" w:rsidRDefault="009148D0" w:rsidP="00125F78">
            <w:pPr>
              <w:rPr>
                <w:sz w:val="20"/>
                <w:szCs w:val="20"/>
              </w:rPr>
            </w:pPr>
            <w:r w:rsidRPr="00774420">
              <w:rPr>
                <w:sz w:val="20"/>
                <w:szCs w:val="20"/>
              </w:rPr>
              <w:t>H</w:t>
            </w:r>
          </w:p>
        </w:tc>
        <w:tc>
          <w:tcPr>
            <w:tcW w:w="1500" w:type="dxa"/>
          </w:tcPr>
          <w:p w14:paraId="1ADAB95F" w14:textId="77777777" w:rsidR="000A539B" w:rsidRPr="00774420" w:rsidRDefault="00AD4D60" w:rsidP="00125F78">
            <w:pPr>
              <w:rPr>
                <w:sz w:val="20"/>
                <w:szCs w:val="20"/>
              </w:rPr>
            </w:pPr>
            <w:r w:rsidRPr="00774420">
              <w:rPr>
                <w:sz w:val="20"/>
                <w:szCs w:val="20"/>
              </w:rPr>
              <w:t>Haemorrhoids (piles)</w:t>
            </w:r>
          </w:p>
          <w:p w14:paraId="0ECDC128" w14:textId="77777777" w:rsidR="00AD4D60" w:rsidRPr="00774420" w:rsidRDefault="00AD4D60" w:rsidP="00125F78">
            <w:pPr>
              <w:rPr>
                <w:sz w:val="20"/>
                <w:szCs w:val="20"/>
              </w:rPr>
            </w:pPr>
          </w:p>
          <w:p w14:paraId="3FBD1556" w14:textId="77777777" w:rsidR="00AD4D60" w:rsidRPr="00774420" w:rsidRDefault="00AD4D60" w:rsidP="00125F78">
            <w:pPr>
              <w:rPr>
                <w:sz w:val="20"/>
                <w:szCs w:val="20"/>
              </w:rPr>
            </w:pPr>
          </w:p>
          <w:p w14:paraId="496FD26F" w14:textId="4601964B" w:rsidR="00AD4D60" w:rsidRPr="00774420" w:rsidRDefault="00AD4D60" w:rsidP="00125F78">
            <w:pPr>
              <w:rPr>
                <w:sz w:val="20"/>
                <w:szCs w:val="20"/>
              </w:rPr>
            </w:pPr>
            <w:proofErr w:type="spellStart"/>
            <w:r w:rsidRPr="00774420">
              <w:rPr>
                <w:sz w:val="20"/>
                <w:szCs w:val="20"/>
              </w:rPr>
              <w:t>Hayfever</w:t>
            </w:r>
            <w:proofErr w:type="spellEnd"/>
          </w:p>
          <w:p w14:paraId="3888BC21" w14:textId="77777777" w:rsidR="00AD4D60" w:rsidRPr="00774420" w:rsidRDefault="00AD4D60" w:rsidP="00125F78">
            <w:pPr>
              <w:rPr>
                <w:sz w:val="20"/>
                <w:szCs w:val="20"/>
              </w:rPr>
            </w:pPr>
          </w:p>
          <w:p w14:paraId="6C3E6F2E" w14:textId="56F30EDC" w:rsidR="00AD4D60" w:rsidRPr="00774420" w:rsidRDefault="00AD4D60" w:rsidP="00125F78">
            <w:pPr>
              <w:rPr>
                <w:sz w:val="20"/>
                <w:szCs w:val="20"/>
              </w:rPr>
            </w:pPr>
            <w:proofErr w:type="spellStart"/>
            <w:r w:rsidRPr="00774420">
              <w:rPr>
                <w:sz w:val="20"/>
                <w:szCs w:val="20"/>
              </w:rPr>
              <w:t>Headlice</w:t>
            </w:r>
            <w:proofErr w:type="spellEnd"/>
          </w:p>
        </w:tc>
        <w:tc>
          <w:tcPr>
            <w:tcW w:w="8505" w:type="dxa"/>
          </w:tcPr>
          <w:p w14:paraId="4DA66D85" w14:textId="77777777" w:rsidR="00FF68D9" w:rsidRPr="00774420" w:rsidRDefault="00FF68D9" w:rsidP="00125F78">
            <w:pPr>
              <w:rPr>
                <w:sz w:val="20"/>
                <w:szCs w:val="20"/>
              </w:rPr>
            </w:pPr>
            <w:r w:rsidRPr="00774420">
              <w:rPr>
                <w:sz w:val="20"/>
                <w:szCs w:val="20"/>
              </w:rPr>
              <w:t>All patients over 18 years old except:</w:t>
            </w:r>
          </w:p>
          <w:p w14:paraId="7F42B102" w14:textId="77777777" w:rsidR="00FF68D9" w:rsidRPr="00774420" w:rsidRDefault="00FF68D9" w:rsidP="00125F78">
            <w:pPr>
              <w:rPr>
                <w:sz w:val="20"/>
                <w:szCs w:val="20"/>
              </w:rPr>
            </w:pPr>
            <w:r w:rsidRPr="00774420">
              <w:rPr>
                <w:sz w:val="20"/>
                <w:szCs w:val="20"/>
              </w:rPr>
              <w:t xml:space="preserve">• Duration longer than 7 days despite treatment from pharmacy </w:t>
            </w:r>
          </w:p>
          <w:p w14:paraId="5EB0F706" w14:textId="4C67B8BC" w:rsidR="00FF68D9" w:rsidRPr="00774420" w:rsidRDefault="00FF68D9" w:rsidP="00FF68D9">
            <w:pPr>
              <w:rPr>
                <w:sz w:val="20"/>
                <w:szCs w:val="20"/>
              </w:rPr>
            </w:pPr>
            <w:r w:rsidRPr="00774420">
              <w:rPr>
                <w:sz w:val="20"/>
                <w:szCs w:val="20"/>
              </w:rPr>
              <w:t>• Blood mixed in stool rather than on surface</w:t>
            </w:r>
          </w:p>
          <w:p w14:paraId="1CDEADA9" w14:textId="77777777" w:rsidR="00FF68D9" w:rsidRPr="00774420" w:rsidRDefault="00FF68D9" w:rsidP="00125F78">
            <w:pPr>
              <w:rPr>
                <w:sz w:val="20"/>
                <w:szCs w:val="20"/>
              </w:rPr>
            </w:pPr>
          </w:p>
          <w:p w14:paraId="234F2F3F" w14:textId="100554B9" w:rsidR="00FF68D9" w:rsidRPr="00774420" w:rsidRDefault="00FF68D9" w:rsidP="00125F78">
            <w:pPr>
              <w:rPr>
                <w:sz w:val="20"/>
                <w:szCs w:val="20"/>
              </w:rPr>
            </w:pPr>
            <w:r w:rsidRPr="00774420">
              <w:rPr>
                <w:sz w:val="20"/>
                <w:szCs w:val="20"/>
              </w:rPr>
              <w:t>All patients over 1 year old</w:t>
            </w:r>
          </w:p>
          <w:p w14:paraId="404E1EEE" w14:textId="77777777" w:rsidR="00FF68D9" w:rsidRPr="00774420" w:rsidRDefault="00FF68D9" w:rsidP="00125F78">
            <w:pPr>
              <w:rPr>
                <w:sz w:val="20"/>
                <w:szCs w:val="20"/>
              </w:rPr>
            </w:pPr>
          </w:p>
          <w:p w14:paraId="323C391D" w14:textId="4F484A17" w:rsidR="000A539B" w:rsidRPr="00774420" w:rsidRDefault="00FF68D9" w:rsidP="00125F78">
            <w:pPr>
              <w:rPr>
                <w:sz w:val="20"/>
                <w:szCs w:val="20"/>
              </w:rPr>
            </w:pPr>
            <w:r w:rsidRPr="00774420">
              <w:rPr>
                <w:sz w:val="20"/>
                <w:szCs w:val="20"/>
              </w:rPr>
              <w:t>All patients unless inflammation of scalp is present</w:t>
            </w:r>
          </w:p>
        </w:tc>
      </w:tr>
      <w:tr w:rsidR="000A539B" w:rsidRPr="00774420" w14:paraId="2CB1088F" w14:textId="77777777" w:rsidTr="00623147">
        <w:tc>
          <w:tcPr>
            <w:tcW w:w="622" w:type="dxa"/>
          </w:tcPr>
          <w:p w14:paraId="38AE0264" w14:textId="7513E700" w:rsidR="000A539B" w:rsidRPr="00774420" w:rsidRDefault="009148D0" w:rsidP="00125F78">
            <w:pPr>
              <w:rPr>
                <w:sz w:val="20"/>
                <w:szCs w:val="20"/>
              </w:rPr>
            </w:pPr>
            <w:r w:rsidRPr="00774420">
              <w:rPr>
                <w:sz w:val="20"/>
                <w:szCs w:val="20"/>
              </w:rPr>
              <w:t>M</w:t>
            </w:r>
          </w:p>
        </w:tc>
        <w:tc>
          <w:tcPr>
            <w:tcW w:w="1500" w:type="dxa"/>
          </w:tcPr>
          <w:p w14:paraId="069E8E60" w14:textId="065FE8D2" w:rsidR="000A539B" w:rsidRPr="00774420" w:rsidRDefault="009148D0" w:rsidP="00125F78">
            <w:pPr>
              <w:rPr>
                <w:sz w:val="20"/>
                <w:szCs w:val="20"/>
              </w:rPr>
            </w:pPr>
            <w:r w:rsidRPr="00774420">
              <w:rPr>
                <w:sz w:val="20"/>
                <w:szCs w:val="20"/>
              </w:rPr>
              <w:t>Mouth Ulcers</w:t>
            </w:r>
          </w:p>
        </w:tc>
        <w:tc>
          <w:tcPr>
            <w:tcW w:w="8505" w:type="dxa"/>
          </w:tcPr>
          <w:p w14:paraId="58015C66" w14:textId="77777777" w:rsidR="000A539B" w:rsidRPr="00774420" w:rsidRDefault="009148D0" w:rsidP="00125F78">
            <w:pPr>
              <w:rPr>
                <w:sz w:val="20"/>
                <w:szCs w:val="20"/>
              </w:rPr>
            </w:pPr>
            <w:r w:rsidRPr="00774420">
              <w:rPr>
                <w:sz w:val="20"/>
                <w:szCs w:val="20"/>
              </w:rPr>
              <w:t>All patients except:</w:t>
            </w:r>
          </w:p>
          <w:p w14:paraId="6FA25E10" w14:textId="77777777" w:rsidR="009148D0" w:rsidRPr="00774420" w:rsidRDefault="009148D0" w:rsidP="00125F78">
            <w:pPr>
              <w:pStyle w:val="ListParagraph"/>
              <w:numPr>
                <w:ilvl w:val="0"/>
                <w:numId w:val="7"/>
              </w:numPr>
              <w:rPr>
                <w:sz w:val="20"/>
                <w:szCs w:val="20"/>
              </w:rPr>
            </w:pPr>
            <w:r w:rsidRPr="00774420">
              <w:rPr>
                <w:sz w:val="20"/>
                <w:szCs w:val="20"/>
              </w:rPr>
              <w:t>Ulcer present for &gt;3 weeks</w:t>
            </w:r>
          </w:p>
          <w:p w14:paraId="595D2437" w14:textId="77777777" w:rsidR="009148D0" w:rsidRPr="00774420" w:rsidRDefault="009148D0" w:rsidP="00125F78">
            <w:pPr>
              <w:pStyle w:val="ListParagraph"/>
              <w:numPr>
                <w:ilvl w:val="0"/>
                <w:numId w:val="7"/>
              </w:numPr>
              <w:rPr>
                <w:sz w:val="20"/>
                <w:szCs w:val="20"/>
              </w:rPr>
            </w:pPr>
            <w:r w:rsidRPr="00774420">
              <w:rPr>
                <w:sz w:val="20"/>
                <w:szCs w:val="20"/>
              </w:rPr>
              <w:t>Systemically unwell</w:t>
            </w:r>
          </w:p>
          <w:p w14:paraId="0BC8AD67" w14:textId="53BB62EF" w:rsidR="009148D0" w:rsidRPr="00774420" w:rsidRDefault="009148D0" w:rsidP="00125F78">
            <w:pPr>
              <w:pStyle w:val="ListParagraph"/>
              <w:numPr>
                <w:ilvl w:val="0"/>
                <w:numId w:val="7"/>
              </w:numPr>
              <w:rPr>
                <w:sz w:val="20"/>
                <w:szCs w:val="20"/>
              </w:rPr>
            </w:pPr>
            <w:r w:rsidRPr="00774420">
              <w:rPr>
                <w:sz w:val="20"/>
                <w:szCs w:val="20"/>
              </w:rPr>
              <w:t>Significant symptoms (multiple/large lesions)</w:t>
            </w:r>
          </w:p>
        </w:tc>
      </w:tr>
      <w:tr w:rsidR="000A539B" w:rsidRPr="00774420" w14:paraId="19794505" w14:textId="77777777" w:rsidTr="00623147">
        <w:tc>
          <w:tcPr>
            <w:tcW w:w="622" w:type="dxa"/>
          </w:tcPr>
          <w:p w14:paraId="1EA21C02" w14:textId="1791DD6B" w:rsidR="000A539B" w:rsidRPr="00774420" w:rsidRDefault="009148D0" w:rsidP="00125F78">
            <w:pPr>
              <w:rPr>
                <w:sz w:val="20"/>
                <w:szCs w:val="20"/>
              </w:rPr>
            </w:pPr>
            <w:r w:rsidRPr="00774420">
              <w:rPr>
                <w:sz w:val="20"/>
                <w:szCs w:val="20"/>
              </w:rPr>
              <w:t>N</w:t>
            </w:r>
          </w:p>
        </w:tc>
        <w:tc>
          <w:tcPr>
            <w:tcW w:w="1500" w:type="dxa"/>
          </w:tcPr>
          <w:p w14:paraId="4C194C32" w14:textId="41D95C67" w:rsidR="000A539B" w:rsidRPr="00774420" w:rsidRDefault="009148D0" w:rsidP="00125F78">
            <w:pPr>
              <w:rPr>
                <w:sz w:val="20"/>
                <w:szCs w:val="20"/>
              </w:rPr>
            </w:pPr>
            <w:r w:rsidRPr="00774420">
              <w:rPr>
                <w:sz w:val="20"/>
                <w:szCs w:val="20"/>
              </w:rPr>
              <w:t>Nappy Rash</w:t>
            </w:r>
          </w:p>
        </w:tc>
        <w:tc>
          <w:tcPr>
            <w:tcW w:w="8505" w:type="dxa"/>
          </w:tcPr>
          <w:p w14:paraId="7A3540CB" w14:textId="77777777" w:rsidR="000A539B" w:rsidRPr="00774420" w:rsidRDefault="009148D0" w:rsidP="00125F78">
            <w:pPr>
              <w:rPr>
                <w:sz w:val="20"/>
                <w:szCs w:val="20"/>
              </w:rPr>
            </w:pPr>
            <w:r w:rsidRPr="00774420">
              <w:rPr>
                <w:sz w:val="20"/>
                <w:szCs w:val="20"/>
              </w:rPr>
              <w:t>All patients except:</w:t>
            </w:r>
          </w:p>
          <w:p w14:paraId="7EB8FED8" w14:textId="77777777" w:rsidR="009148D0" w:rsidRPr="00774420" w:rsidRDefault="009148D0" w:rsidP="00125F78">
            <w:pPr>
              <w:pStyle w:val="ListParagraph"/>
              <w:numPr>
                <w:ilvl w:val="0"/>
                <w:numId w:val="6"/>
              </w:numPr>
              <w:rPr>
                <w:sz w:val="20"/>
                <w:szCs w:val="20"/>
              </w:rPr>
            </w:pPr>
            <w:r w:rsidRPr="00774420">
              <w:rPr>
                <w:sz w:val="20"/>
                <w:szCs w:val="20"/>
              </w:rPr>
              <w:t>Standard treatment fails or symptoms persist</w:t>
            </w:r>
          </w:p>
          <w:p w14:paraId="018D0158" w14:textId="7FD9E687" w:rsidR="009148D0" w:rsidRPr="00774420" w:rsidRDefault="009148D0" w:rsidP="00125F78">
            <w:pPr>
              <w:pStyle w:val="ListParagraph"/>
              <w:numPr>
                <w:ilvl w:val="0"/>
                <w:numId w:val="6"/>
              </w:numPr>
              <w:rPr>
                <w:sz w:val="20"/>
                <w:szCs w:val="20"/>
              </w:rPr>
            </w:pPr>
            <w:r w:rsidRPr="00774420">
              <w:rPr>
                <w:sz w:val="20"/>
                <w:szCs w:val="20"/>
              </w:rPr>
              <w:t>Signs of infection or eczema</w:t>
            </w:r>
          </w:p>
        </w:tc>
      </w:tr>
      <w:tr w:rsidR="00AC4F77" w:rsidRPr="00774420" w14:paraId="21DE640D" w14:textId="77777777" w:rsidTr="00623147">
        <w:tc>
          <w:tcPr>
            <w:tcW w:w="622" w:type="dxa"/>
          </w:tcPr>
          <w:p w14:paraId="296D646E" w14:textId="433F0625" w:rsidR="00AC4F77" w:rsidRPr="00774420" w:rsidRDefault="009148D0" w:rsidP="00125F78">
            <w:pPr>
              <w:rPr>
                <w:sz w:val="20"/>
                <w:szCs w:val="20"/>
              </w:rPr>
            </w:pPr>
            <w:r w:rsidRPr="00774420">
              <w:rPr>
                <w:sz w:val="20"/>
                <w:szCs w:val="20"/>
              </w:rPr>
              <w:t>R</w:t>
            </w:r>
          </w:p>
        </w:tc>
        <w:tc>
          <w:tcPr>
            <w:tcW w:w="1500" w:type="dxa"/>
          </w:tcPr>
          <w:p w14:paraId="64B2A9A6" w14:textId="0407C9D4" w:rsidR="00AC4F77" w:rsidRPr="00774420" w:rsidRDefault="009148D0" w:rsidP="00125F78">
            <w:pPr>
              <w:rPr>
                <w:sz w:val="20"/>
                <w:szCs w:val="20"/>
              </w:rPr>
            </w:pPr>
            <w:r w:rsidRPr="00774420">
              <w:rPr>
                <w:sz w:val="20"/>
                <w:szCs w:val="20"/>
              </w:rPr>
              <w:t>Ringworm</w:t>
            </w:r>
          </w:p>
        </w:tc>
        <w:tc>
          <w:tcPr>
            <w:tcW w:w="8505" w:type="dxa"/>
          </w:tcPr>
          <w:p w14:paraId="72CE1BD8" w14:textId="77777777" w:rsidR="00AC4F77" w:rsidRPr="00774420" w:rsidRDefault="009148D0" w:rsidP="00125F78">
            <w:pPr>
              <w:rPr>
                <w:sz w:val="20"/>
                <w:szCs w:val="20"/>
              </w:rPr>
            </w:pPr>
            <w:r w:rsidRPr="00774420">
              <w:rPr>
                <w:sz w:val="20"/>
                <w:szCs w:val="20"/>
              </w:rPr>
              <w:t>All patients except:</w:t>
            </w:r>
          </w:p>
          <w:p w14:paraId="35232F67" w14:textId="371AFF34" w:rsidR="009148D0" w:rsidRPr="00774420" w:rsidRDefault="009148D0" w:rsidP="00125F78">
            <w:pPr>
              <w:pStyle w:val="ListParagraph"/>
              <w:numPr>
                <w:ilvl w:val="0"/>
                <w:numId w:val="5"/>
              </w:numPr>
              <w:rPr>
                <w:sz w:val="20"/>
                <w:szCs w:val="20"/>
              </w:rPr>
            </w:pPr>
            <w:r w:rsidRPr="00774420">
              <w:rPr>
                <w:sz w:val="20"/>
                <w:szCs w:val="20"/>
              </w:rPr>
              <w:t>Symptoms persist despite treatment</w:t>
            </w:r>
          </w:p>
        </w:tc>
      </w:tr>
      <w:tr w:rsidR="00AC4F77" w:rsidRPr="00774420" w14:paraId="48968CD4" w14:textId="77777777" w:rsidTr="00623147">
        <w:tc>
          <w:tcPr>
            <w:tcW w:w="622" w:type="dxa"/>
          </w:tcPr>
          <w:p w14:paraId="6BB11432" w14:textId="50CEC319" w:rsidR="00AC4F77" w:rsidRPr="00774420" w:rsidRDefault="000A539B" w:rsidP="00125F78">
            <w:pPr>
              <w:rPr>
                <w:sz w:val="20"/>
                <w:szCs w:val="20"/>
              </w:rPr>
            </w:pPr>
            <w:r w:rsidRPr="00774420">
              <w:rPr>
                <w:sz w:val="20"/>
                <w:szCs w:val="20"/>
              </w:rPr>
              <w:t>S</w:t>
            </w:r>
          </w:p>
        </w:tc>
        <w:tc>
          <w:tcPr>
            <w:tcW w:w="1500" w:type="dxa"/>
          </w:tcPr>
          <w:p w14:paraId="29318887" w14:textId="3EE29E3B" w:rsidR="000A539B" w:rsidRPr="00774420" w:rsidRDefault="009148D0" w:rsidP="00125F78">
            <w:pPr>
              <w:rPr>
                <w:sz w:val="20"/>
                <w:szCs w:val="20"/>
              </w:rPr>
            </w:pPr>
            <w:r w:rsidRPr="00774420">
              <w:rPr>
                <w:sz w:val="20"/>
                <w:szCs w:val="20"/>
              </w:rPr>
              <w:t>Scabies</w:t>
            </w:r>
          </w:p>
          <w:p w14:paraId="419BCE52" w14:textId="77777777" w:rsidR="00581048" w:rsidRPr="00774420" w:rsidRDefault="00581048" w:rsidP="00125F78">
            <w:pPr>
              <w:rPr>
                <w:sz w:val="20"/>
                <w:szCs w:val="20"/>
              </w:rPr>
            </w:pPr>
          </w:p>
          <w:p w14:paraId="0360BB54" w14:textId="6C4F6859" w:rsidR="00AC4F77" w:rsidRPr="00774420" w:rsidRDefault="000A539B" w:rsidP="00125F78">
            <w:pPr>
              <w:rPr>
                <w:sz w:val="20"/>
                <w:szCs w:val="20"/>
              </w:rPr>
            </w:pPr>
            <w:r w:rsidRPr="00774420">
              <w:rPr>
                <w:sz w:val="20"/>
                <w:szCs w:val="20"/>
              </w:rPr>
              <w:t>Sore Throat</w:t>
            </w:r>
          </w:p>
        </w:tc>
        <w:tc>
          <w:tcPr>
            <w:tcW w:w="8505" w:type="dxa"/>
          </w:tcPr>
          <w:p w14:paraId="10381505" w14:textId="2D08BCC8" w:rsidR="009148D0" w:rsidRPr="00774420" w:rsidRDefault="009148D0" w:rsidP="00125F78">
            <w:pPr>
              <w:rPr>
                <w:sz w:val="20"/>
                <w:szCs w:val="20"/>
              </w:rPr>
            </w:pPr>
            <w:r w:rsidRPr="00774420">
              <w:rPr>
                <w:sz w:val="20"/>
                <w:szCs w:val="20"/>
              </w:rPr>
              <w:t>All patients over 2 years old</w:t>
            </w:r>
          </w:p>
          <w:p w14:paraId="54970B5D" w14:textId="77777777" w:rsidR="00581048" w:rsidRPr="00774420" w:rsidRDefault="00581048" w:rsidP="00125F78">
            <w:pPr>
              <w:rPr>
                <w:sz w:val="20"/>
                <w:szCs w:val="20"/>
              </w:rPr>
            </w:pPr>
          </w:p>
          <w:p w14:paraId="6033E95A" w14:textId="528B09F4" w:rsidR="00AC4F77" w:rsidRPr="00774420" w:rsidRDefault="000A539B" w:rsidP="00125F78">
            <w:pPr>
              <w:rPr>
                <w:sz w:val="20"/>
                <w:szCs w:val="20"/>
              </w:rPr>
            </w:pPr>
            <w:r w:rsidRPr="00774420">
              <w:rPr>
                <w:sz w:val="20"/>
                <w:szCs w:val="20"/>
              </w:rPr>
              <w:t>All patients except:</w:t>
            </w:r>
          </w:p>
          <w:p w14:paraId="0F55972E" w14:textId="77777777" w:rsidR="000A539B" w:rsidRPr="00774420" w:rsidRDefault="000A539B" w:rsidP="00125F78">
            <w:pPr>
              <w:pStyle w:val="ListParagraph"/>
              <w:numPr>
                <w:ilvl w:val="0"/>
                <w:numId w:val="4"/>
              </w:numPr>
              <w:rPr>
                <w:sz w:val="20"/>
                <w:szCs w:val="20"/>
              </w:rPr>
            </w:pPr>
            <w:r w:rsidRPr="00774420">
              <w:rPr>
                <w:sz w:val="20"/>
                <w:szCs w:val="20"/>
              </w:rPr>
              <w:t>Systemically unwell</w:t>
            </w:r>
          </w:p>
          <w:p w14:paraId="564F306E" w14:textId="77777777" w:rsidR="000A539B" w:rsidRPr="00774420" w:rsidRDefault="000A539B" w:rsidP="00125F78">
            <w:pPr>
              <w:pStyle w:val="ListParagraph"/>
              <w:numPr>
                <w:ilvl w:val="0"/>
                <w:numId w:val="4"/>
              </w:numPr>
              <w:rPr>
                <w:sz w:val="20"/>
                <w:szCs w:val="20"/>
              </w:rPr>
            </w:pPr>
            <w:r w:rsidRPr="00774420">
              <w:rPr>
                <w:sz w:val="20"/>
                <w:szCs w:val="20"/>
              </w:rPr>
              <w:t>No improvement in symptoms for &gt;7 days</w:t>
            </w:r>
          </w:p>
          <w:p w14:paraId="30FF2E0E" w14:textId="272DFE3F" w:rsidR="000A539B" w:rsidRPr="00774420" w:rsidRDefault="000A539B" w:rsidP="00125F78">
            <w:pPr>
              <w:pStyle w:val="ListParagraph"/>
              <w:numPr>
                <w:ilvl w:val="0"/>
                <w:numId w:val="4"/>
              </w:numPr>
              <w:rPr>
                <w:sz w:val="20"/>
                <w:szCs w:val="20"/>
              </w:rPr>
            </w:pPr>
            <w:r w:rsidRPr="00774420">
              <w:rPr>
                <w:sz w:val="20"/>
                <w:szCs w:val="20"/>
              </w:rPr>
              <w:t>Difficulty swallowing liquids or associated breathing problems</w:t>
            </w:r>
          </w:p>
        </w:tc>
      </w:tr>
      <w:tr w:rsidR="00AC4F77" w:rsidRPr="00774420" w14:paraId="17D017D1" w14:textId="77777777" w:rsidTr="00623147">
        <w:trPr>
          <w:trHeight w:val="2889"/>
        </w:trPr>
        <w:tc>
          <w:tcPr>
            <w:tcW w:w="622" w:type="dxa"/>
          </w:tcPr>
          <w:p w14:paraId="52A56E44" w14:textId="127E1206" w:rsidR="00AC4F77" w:rsidRPr="00774420" w:rsidRDefault="000A539B" w:rsidP="00125F78">
            <w:pPr>
              <w:rPr>
                <w:sz w:val="20"/>
                <w:szCs w:val="20"/>
              </w:rPr>
            </w:pPr>
            <w:r w:rsidRPr="00774420">
              <w:rPr>
                <w:sz w:val="20"/>
                <w:szCs w:val="20"/>
              </w:rPr>
              <w:t>T</w:t>
            </w:r>
          </w:p>
        </w:tc>
        <w:tc>
          <w:tcPr>
            <w:tcW w:w="1500" w:type="dxa"/>
          </w:tcPr>
          <w:p w14:paraId="5E416717" w14:textId="77777777" w:rsidR="00AC4F77" w:rsidRPr="00774420" w:rsidRDefault="000A539B" w:rsidP="00125F78">
            <w:pPr>
              <w:rPr>
                <w:sz w:val="20"/>
                <w:szCs w:val="20"/>
              </w:rPr>
            </w:pPr>
            <w:r w:rsidRPr="00774420">
              <w:rPr>
                <w:sz w:val="20"/>
                <w:szCs w:val="20"/>
              </w:rPr>
              <w:t>Threadworms</w:t>
            </w:r>
          </w:p>
          <w:p w14:paraId="030258EC" w14:textId="77777777" w:rsidR="000A539B" w:rsidRPr="00774420" w:rsidRDefault="000A539B" w:rsidP="00125F78">
            <w:pPr>
              <w:rPr>
                <w:sz w:val="20"/>
                <w:szCs w:val="20"/>
              </w:rPr>
            </w:pPr>
          </w:p>
          <w:p w14:paraId="0DAA672F" w14:textId="77777777" w:rsidR="000A539B" w:rsidRPr="00774420" w:rsidRDefault="000A539B" w:rsidP="00125F78">
            <w:pPr>
              <w:rPr>
                <w:sz w:val="20"/>
                <w:szCs w:val="20"/>
              </w:rPr>
            </w:pPr>
          </w:p>
          <w:p w14:paraId="4EE2A1C3" w14:textId="2BD7B794" w:rsidR="000A539B" w:rsidRPr="00774420" w:rsidRDefault="000A539B" w:rsidP="00125F78">
            <w:pPr>
              <w:rPr>
                <w:sz w:val="20"/>
                <w:szCs w:val="20"/>
              </w:rPr>
            </w:pPr>
            <w:r w:rsidRPr="00774420">
              <w:rPr>
                <w:sz w:val="20"/>
                <w:szCs w:val="20"/>
              </w:rPr>
              <w:t>Thrush</w:t>
            </w:r>
          </w:p>
          <w:p w14:paraId="18AF2EF6" w14:textId="161F0815" w:rsidR="000A539B" w:rsidRPr="00774420" w:rsidRDefault="000A539B" w:rsidP="00125F78">
            <w:pPr>
              <w:rPr>
                <w:sz w:val="20"/>
                <w:szCs w:val="20"/>
              </w:rPr>
            </w:pPr>
          </w:p>
          <w:p w14:paraId="3F85BBDC" w14:textId="0884C389" w:rsidR="000A539B" w:rsidRPr="00774420" w:rsidRDefault="000A539B" w:rsidP="00125F78">
            <w:pPr>
              <w:rPr>
                <w:sz w:val="20"/>
                <w:szCs w:val="20"/>
              </w:rPr>
            </w:pPr>
          </w:p>
          <w:p w14:paraId="684E25B9" w14:textId="190A2AF0" w:rsidR="000A539B" w:rsidRPr="00774420" w:rsidRDefault="000A539B" w:rsidP="00125F78">
            <w:pPr>
              <w:rPr>
                <w:sz w:val="20"/>
                <w:szCs w:val="20"/>
              </w:rPr>
            </w:pPr>
          </w:p>
          <w:p w14:paraId="361DEEE9" w14:textId="3563438D" w:rsidR="000A539B" w:rsidRPr="00774420" w:rsidRDefault="000A539B" w:rsidP="00125F78">
            <w:pPr>
              <w:rPr>
                <w:sz w:val="20"/>
                <w:szCs w:val="20"/>
              </w:rPr>
            </w:pPr>
          </w:p>
          <w:p w14:paraId="3C234912" w14:textId="30B71101" w:rsidR="000A539B" w:rsidRPr="00774420" w:rsidRDefault="000A539B" w:rsidP="00125F78">
            <w:pPr>
              <w:rPr>
                <w:sz w:val="20"/>
                <w:szCs w:val="20"/>
              </w:rPr>
            </w:pPr>
          </w:p>
          <w:p w14:paraId="7A14288E" w14:textId="6E370F41" w:rsidR="000A539B" w:rsidRPr="00774420" w:rsidRDefault="000A539B" w:rsidP="00125F78">
            <w:pPr>
              <w:rPr>
                <w:sz w:val="20"/>
                <w:szCs w:val="20"/>
              </w:rPr>
            </w:pPr>
          </w:p>
          <w:p w14:paraId="2F840AF5" w14:textId="465CC99C" w:rsidR="000A539B" w:rsidRPr="00774420" w:rsidRDefault="000A539B" w:rsidP="00125F78">
            <w:pPr>
              <w:rPr>
                <w:sz w:val="20"/>
                <w:szCs w:val="20"/>
              </w:rPr>
            </w:pPr>
            <w:r w:rsidRPr="00774420">
              <w:rPr>
                <w:sz w:val="20"/>
                <w:szCs w:val="20"/>
              </w:rPr>
              <w:t>Oral Thrush</w:t>
            </w:r>
          </w:p>
        </w:tc>
        <w:tc>
          <w:tcPr>
            <w:tcW w:w="8505" w:type="dxa"/>
          </w:tcPr>
          <w:p w14:paraId="652B08FD" w14:textId="019E982D" w:rsidR="00AC4F77" w:rsidRPr="00774420" w:rsidRDefault="000A539B" w:rsidP="00125F78">
            <w:pPr>
              <w:rPr>
                <w:sz w:val="20"/>
                <w:szCs w:val="20"/>
              </w:rPr>
            </w:pPr>
            <w:r w:rsidRPr="00774420">
              <w:rPr>
                <w:sz w:val="20"/>
                <w:szCs w:val="20"/>
              </w:rPr>
              <w:t>All patients over 2 years old except:</w:t>
            </w:r>
          </w:p>
          <w:p w14:paraId="307E9561" w14:textId="77777777" w:rsidR="000A539B" w:rsidRPr="00774420" w:rsidRDefault="000A539B" w:rsidP="00125F78">
            <w:pPr>
              <w:pStyle w:val="ListParagraph"/>
              <w:numPr>
                <w:ilvl w:val="0"/>
                <w:numId w:val="3"/>
              </w:numPr>
              <w:rPr>
                <w:sz w:val="20"/>
                <w:szCs w:val="20"/>
              </w:rPr>
            </w:pPr>
            <w:r w:rsidRPr="00774420">
              <w:rPr>
                <w:sz w:val="20"/>
                <w:szCs w:val="20"/>
              </w:rPr>
              <w:t>Pregnant &amp; breastfeeding women</w:t>
            </w:r>
          </w:p>
          <w:p w14:paraId="6D6A8E08" w14:textId="77777777" w:rsidR="000A539B" w:rsidRPr="00774420" w:rsidRDefault="000A539B" w:rsidP="00125F78">
            <w:pPr>
              <w:rPr>
                <w:sz w:val="20"/>
                <w:szCs w:val="20"/>
              </w:rPr>
            </w:pPr>
          </w:p>
          <w:p w14:paraId="6099A6BD" w14:textId="7264BD94" w:rsidR="000A539B" w:rsidRPr="00774420" w:rsidRDefault="000A539B" w:rsidP="00125F78">
            <w:pPr>
              <w:rPr>
                <w:sz w:val="20"/>
                <w:szCs w:val="20"/>
              </w:rPr>
            </w:pPr>
            <w:r w:rsidRPr="00774420">
              <w:rPr>
                <w:sz w:val="20"/>
                <w:szCs w:val="20"/>
              </w:rPr>
              <w:t>Women between 16 – 60 years old except:</w:t>
            </w:r>
          </w:p>
          <w:p w14:paraId="5202A576" w14:textId="0424BB69" w:rsidR="000A539B" w:rsidRPr="00774420" w:rsidRDefault="000A539B" w:rsidP="00125F78">
            <w:pPr>
              <w:pStyle w:val="ListParagraph"/>
              <w:numPr>
                <w:ilvl w:val="0"/>
                <w:numId w:val="3"/>
              </w:numPr>
              <w:rPr>
                <w:sz w:val="20"/>
                <w:szCs w:val="20"/>
              </w:rPr>
            </w:pPr>
            <w:r w:rsidRPr="00774420">
              <w:rPr>
                <w:sz w:val="20"/>
                <w:szCs w:val="20"/>
              </w:rPr>
              <w:t>Pregnant women</w:t>
            </w:r>
          </w:p>
          <w:p w14:paraId="1DC9C97C" w14:textId="438B4C80" w:rsidR="000A539B" w:rsidRPr="00774420" w:rsidRDefault="000A539B" w:rsidP="00125F78">
            <w:pPr>
              <w:pStyle w:val="ListParagraph"/>
              <w:numPr>
                <w:ilvl w:val="0"/>
                <w:numId w:val="3"/>
              </w:numPr>
              <w:rPr>
                <w:sz w:val="20"/>
                <w:szCs w:val="20"/>
              </w:rPr>
            </w:pPr>
            <w:r w:rsidRPr="00774420">
              <w:rPr>
                <w:sz w:val="20"/>
                <w:szCs w:val="20"/>
              </w:rPr>
              <w:t>&gt;2 episodes in 6 months</w:t>
            </w:r>
          </w:p>
          <w:p w14:paraId="1975B510" w14:textId="7CCF0440" w:rsidR="000A539B" w:rsidRPr="00774420" w:rsidRDefault="000A539B" w:rsidP="00125F78">
            <w:pPr>
              <w:pStyle w:val="ListParagraph"/>
              <w:numPr>
                <w:ilvl w:val="0"/>
                <w:numId w:val="3"/>
              </w:numPr>
              <w:rPr>
                <w:sz w:val="20"/>
                <w:szCs w:val="20"/>
              </w:rPr>
            </w:pPr>
            <w:r w:rsidRPr="00774420">
              <w:rPr>
                <w:sz w:val="20"/>
                <w:szCs w:val="20"/>
              </w:rPr>
              <w:t>Symptoms still present 7-14 days after treatment</w:t>
            </w:r>
          </w:p>
          <w:p w14:paraId="2CE2FB0B" w14:textId="5D2F048D" w:rsidR="000A539B" w:rsidRPr="00774420" w:rsidRDefault="000A539B" w:rsidP="00125F78">
            <w:pPr>
              <w:pStyle w:val="ListParagraph"/>
              <w:numPr>
                <w:ilvl w:val="0"/>
                <w:numId w:val="3"/>
              </w:numPr>
              <w:rPr>
                <w:sz w:val="20"/>
                <w:szCs w:val="20"/>
              </w:rPr>
            </w:pPr>
            <w:r w:rsidRPr="00774420">
              <w:rPr>
                <w:sz w:val="20"/>
                <w:szCs w:val="20"/>
              </w:rPr>
              <w:t>Immunocompromised patients</w:t>
            </w:r>
          </w:p>
          <w:p w14:paraId="6FCE7A60" w14:textId="2F9E7D3B" w:rsidR="000A539B" w:rsidRPr="00774420" w:rsidRDefault="000A539B" w:rsidP="00125F78">
            <w:pPr>
              <w:pStyle w:val="ListParagraph"/>
              <w:numPr>
                <w:ilvl w:val="0"/>
                <w:numId w:val="3"/>
              </w:numPr>
              <w:rPr>
                <w:sz w:val="20"/>
                <w:szCs w:val="20"/>
              </w:rPr>
            </w:pPr>
            <w:r w:rsidRPr="00774420">
              <w:rPr>
                <w:sz w:val="20"/>
                <w:szCs w:val="20"/>
              </w:rPr>
              <w:t>Other symptoms eg frequent urination/vaginal bleeding etc</w:t>
            </w:r>
          </w:p>
          <w:p w14:paraId="6FD294C3" w14:textId="77777777" w:rsidR="000A539B" w:rsidRPr="00774420" w:rsidRDefault="000A539B" w:rsidP="00125F78">
            <w:pPr>
              <w:rPr>
                <w:sz w:val="20"/>
                <w:szCs w:val="20"/>
              </w:rPr>
            </w:pPr>
          </w:p>
          <w:p w14:paraId="77A53430" w14:textId="03F1080E" w:rsidR="000A539B" w:rsidRPr="00774420" w:rsidRDefault="000A539B" w:rsidP="00125F78">
            <w:pPr>
              <w:rPr>
                <w:sz w:val="20"/>
                <w:szCs w:val="20"/>
              </w:rPr>
            </w:pPr>
            <w:r w:rsidRPr="00774420">
              <w:rPr>
                <w:sz w:val="20"/>
                <w:szCs w:val="20"/>
              </w:rPr>
              <w:t>All patients over 4 months</w:t>
            </w:r>
          </w:p>
        </w:tc>
      </w:tr>
      <w:tr w:rsidR="00AC4F77" w:rsidRPr="00774420" w14:paraId="70A35B5D" w14:textId="77777777" w:rsidTr="00623147">
        <w:tc>
          <w:tcPr>
            <w:tcW w:w="622" w:type="dxa"/>
          </w:tcPr>
          <w:p w14:paraId="252E6280" w14:textId="0A98709C" w:rsidR="00AC4F77" w:rsidRPr="00774420" w:rsidRDefault="000A539B" w:rsidP="00125F78">
            <w:pPr>
              <w:rPr>
                <w:sz w:val="20"/>
                <w:szCs w:val="20"/>
              </w:rPr>
            </w:pPr>
            <w:r w:rsidRPr="00774420">
              <w:rPr>
                <w:sz w:val="20"/>
                <w:szCs w:val="20"/>
              </w:rPr>
              <w:t>W/V</w:t>
            </w:r>
          </w:p>
        </w:tc>
        <w:tc>
          <w:tcPr>
            <w:tcW w:w="1500" w:type="dxa"/>
          </w:tcPr>
          <w:p w14:paraId="7F859D77" w14:textId="71F30119" w:rsidR="00AC4F77" w:rsidRPr="00774420" w:rsidRDefault="000A539B" w:rsidP="00125F78">
            <w:pPr>
              <w:rPr>
                <w:sz w:val="20"/>
                <w:szCs w:val="20"/>
              </w:rPr>
            </w:pPr>
            <w:r w:rsidRPr="00774420">
              <w:rPr>
                <w:sz w:val="20"/>
                <w:szCs w:val="20"/>
              </w:rPr>
              <w:t>Warts &amp; Verrucae</w:t>
            </w:r>
          </w:p>
        </w:tc>
        <w:tc>
          <w:tcPr>
            <w:tcW w:w="8505" w:type="dxa"/>
          </w:tcPr>
          <w:p w14:paraId="6492A65D" w14:textId="3C409EF6" w:rsidR="00AC4F77" w:rsidRPr="00774420" w:rsidRDefault="000A539B" w:rsidP="00125F78">
            <w:pPr>
              <w:rPr>
                <w:sz w:val="20"/>
                <w:szCs w:val="20"/>
              </w:rPr>
            </w:pPr>
            <w:r w:rsidRPr="00774420">
              <w:rPr>
                <w:sz w:val="20"/>
                <w:szCs w:val="20"/>
              </w:rPr>
              <w:t>All patients except:</w:t>
            </w:r>
          </w:p>
          <w:p w14:paraId="43F6DDAF" w14:textId="786E59B9" w:rsidR="000A539B" w:rsidRPr="00774420" w:rsidRDefault="000A539B" w:rsidP="00125F78">
            <w:pPr>
              <w:pStyle w:val="ListParagraph"/>
              <w:numPr>
                <w:ilvl w:val="0"/>
                <w:numId w:val="2"/>
              </w:numPr>
              <w:rPr>
                <w:sz w:val="20"/>
                <w:szCs w:val="20"/>
              </w:rPr>
            </w:pPr>
            <w:r w:rsidRPr="00774420">
              <w:rPr>
                <w:sz w:val="20"/>
                <w:szCs w:val="20"/>
              </w:rPr>
              <w:t xml:space="preserve">Warts on face or </w:t>
            </w:r>
            <w:proofErr w:type="spellStart"/>
            <w:r w:rsidRPr="00774420">
              <w:rPr>
                <w:sz w:val="20"/>
                <w:szCs w:val="20"/>
              </w:rPr>
              <w:t>anogenital</w:t>
            </w:r>
            <w:proofErr w:type="spellEnd"/>
            <w:r w:rsidRPr="00774420">
              <w:rPr>
                <w:sz w:val="20"/>
                <w:szCs w:val="20"/>
              </w:rPr>
              <w:t xml:space="preserve"> region</w:t>
            </w:r>
          </w:p>
        </w:tc>
      </w:tr>
    </w:tbl>
    <w:p w14:paraId="329D49A0" w14:textId="77777777" w:rsidR="00B56944" w:rsidRPr="00714A61" w:rsidRDefault="00B56944" w:rsidP="00B8276E"/>
    <w:sectPr w:rsidR="00B56944" w:rsidRPr="00714A61" w:rsidSect="00623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2631"/>
    <w:multiLevelType w:val="hybridMultilevel"/>
    <w:tmpl w:val="C674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D33FC"/>
    <w:multiLevelType w:val="hybridMultilevel"/>
    <w:tmpl w:val="2C9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83551"/>
    <w:multiLevelType w:val="hybridMultilevel"/>
    <w:tmpl w:val="5C9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843E2"/>
    <w:multiLevelType w:val="hybridMultilevel"/>
    <w:tmpl w:val="EF06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B3838"/>
    <w:multiLevelType w:val="hybridMultilevel"/>
    <w:tmpl w:val="160E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43293"/>
    <w:multiLevelType w:val="hybridMultilevel"/>
    <w:tmpl w:val="C284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F2050"/>
    <w:multiLevelType w:val="hybridMultilevel"/>
    <w:tmpl w:val="BC40572A"/>
    <w:lvl w:ilvl="0" w:tplc="F0B88D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8B12FA"/>
    <w:multiLevelType w:val="hybridMultilevel"/>
    <w:tmpl w:val="707E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94609"/>
    <w:multiLevelType w:val="hybridMultilevel"/>
    <w:tmpl w:val="FD88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263D6"/>
    <w:multiLevelType w:val="hybridMultilevel"/>
    <w:tmpl w:val="BC84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65032"/>
    <w:multiLevelType w:val="hybridMultilevel"/>
    <w:tmpl w:val="BD9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2714E"/>
    <w:multiLevelType w:val="hybridMultilevel"/>
    <w:tmpl w:val="3798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27F0B"/>
    <w:multiLevelType w:val="hybridMultilevel"/>
    <w:tmpl w:val="521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0"/>
  </w:num>
  <w:num w:numId="6">
    <w:abstractNumId w:val="11"/>
  </w:num>
  <w:num w:numId="7">
    <w:abstractNumId w:val="9"/>
  </w:num>
  <w:num w:numId="8">
    <w:abstractNumId w:val="1"/>
  </w:num>
  <w:num w:numId="9">
    <w:abstractNumId w:val="12"/>
  </w:num>
  <w:num w:numId="10">
    <w:abstractNumId w:val="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18"/>
    <w:rsid w:val="00003BB7"/>
    <w:rsid w:val="000A3C0F"/>
    <w:rsid w:val="000A539B"/>
    <w:rsid w:val="00125F78"/>
    <w:rsid w:val="00147093"/>
    <w:rsid w:val="00246518"/>
    <w:rsid w:val="0025186E"/>
    <w:rsid w:val="00274895"/>
    <w:rsid w:val="002868CC"/>
    <w:rsid w:val="0032441F"/>
    <w:rsid w:val="00395326"/>
    <w:rsid w:val="003C1968"/>
    <w:rsid w:val="004207F5"/>
    <w:rsid w:val="004430FF"/>
    <w:rsid w:val="00491040"/>
    <w:rsid w:val="00495137"/>
    <w:rsid w:val="004B26B4"/>
    <w:rsid w:val="004C0D17"/>
    <w:rsid w:val="005746CB"/>
    <w:rsid w:val="00581048"/>
    <w:rsid w:val="00592C7D"/>
    <w:rsid w:val="005E1E05"/>
    <w:rsid w:val="00623147"/>
    <w:rsid w:val="00714A61"/>
    <w:rsid w:val="007306B5"/>
    <w:rsid w:val="007539C4"/>
    <w:rsid w:val="00763F03"/>
    <w:rsid w:val="00774420"/>
    <w:rsid w:val="007D323C"/>
    <w:rsid w:val="00851E79"/>
    <w:rsid w:val="00892629"/>
    <w:rsid w:val="008D0E04"/>
    <w:rsid w:val="009148D0"/>
    <w:rsid w:val="00954E09"/>
    <w:rsid w:val="00964FB5"/>
    <w:rsid w:val="009F1506"/>
    <w:rsid w:val="00A37685"/>
    <w:rsid w:val="00A464EA"/>
    <w:rsid w:val="00A55CF1"/>
    <w:rsid w:val="00A57A7E"/>
    <w:rsid w:val="00A96A31"/>
    <w:rsid w:val="00AA28A2"/>
    <w:rsid w:val="00AC4F77"/>
    <w:rsid w:val="00AD4D60"/>
    <w:rsid w:val="00B413A1"/>
    <w:rsid w:val="00B56944"/>
    <w:rsid w:val="00B8276E"/>
    <w:rsid w:val="00C03299"/>
    <w:rsid w:val="00CA347D"/>
    <w:rsid w:val="00CB38C2"/>
    <w:rsid w:val="00CC1B89"/>
    <w:rsid w:val="00D3174A"/>
    <w:rsid w:val="00D76E85"/>
    <w:rsid w:val="00D9467B"/>
    <w:rsid w:val="00E33F7D"/>
    <w:rsid w:val="00E34859"/>
    <w:rsid w:val="00E60D10"/>
    <w:rsid w:val="00EF7E98"/>
    <w:rsid w:val="00FB0FE3"/>
    <w:rsid w:val="00FB7555"/>
    <w:rsid w:val="00FF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BA44"/>
  <w15:chartTrackingRefBased/>
  <w15:docId w15:val="{677D42C2-4327-461B-AE44-466F306C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5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14A61"/>
    <w:pPr>
      <w:ind w:left="720"/>
      <w:contextualSpacing/>
    </w:pPr>
  </w:style>
  <w:style w:type="table" w:styleId="TableGrid">
    <w:name w:val="Table Grid"/>
    <w:basedOn w:val="TableNormal"/>
    <w:uiPriority w:val="39"/>
    <w:rsid w:val="00AC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23C"/>
    <w:rPr>
      <w:color w:val="0563C1" w:themeColor="hyperlink"/>
      <w:u w:val="single"/>
    </w:rPr>
  </w:style>
  <w:style w:type="character" w:styleId="CommentReference">
    <w:name w:val="annotation reference"/>
    <w:basedOn w:val="DefaultParagraphFont"/>
    <w:uiPriority w:val="99"/>
    <w:semiHidden/>
    <w:unhideWhenUsed/>
    <w:rsid w:val="007306B5"/>
    <w:rPr>
      <w:sz w:val="16"/>
      <w:szCs w:val="16"/>
    </w:rPr>
  </w:style>
  <w:style w:type="paragraph" w:styleId="CommentText">
    <w:name w:val="annotation text"/>
    <w:basedOn w:val="Normal"/>
    <w:link w:val="CommentTextChar"/>
    <w:uiPriority w:val="99"/>
    <w:semiHidden/>
    <w:unhideWhenUsed/>
    <w:rsid w:val="007306B5"/>
    <w:pPr>
      <w:spacing w:line="240" w:lineRule="auto"/>
    </w:pPr>
    <w:rPr>
      <w:sz w:val="20"/>
      <w:szCs w:val="20"/>
    </w:rPr>
  </w:style>
  <w:style w:type="character" w:customStyle="1" w:styleId="CommentTextChar">
    <w:name w:val="Comment Text Char"/>
    <w:basedOn w:val="DefaultParagraphFont"/>
    <w:link w:val="CommentText"/>
    <w:uiPriority w:val="99"/>
    <w:semiHidden/>
    <w:rsid w:val="007306B5"/>
    <w:rPr>
      <w:sz w:val="20"/>
      <w:szCs w:val="20"/>
    </w:rPr>
  </w:style>
  <w:style w:type="paragraph" w:styleId="CommentSubject">
    <w:name w:val="annotation subject"/>
    <w:basedOn w:val="CommentText"/>
    <w:next w:val="CommentText"/>
    <w:link w:val="CommentSubjectChar"/>
    <w:uiPriority w:val="99"/>
    <w:semiHidden/>
    <w:unhideWhenUsed/>
    <w:rsid w:val="007306B5"/>
    <w:rPr>
      <w:b/>
      <w:bCs/>
    </w:rPr>
  </w:style>
  <w:style w:type="character" w:customStyle="1" w:styleId="CommentSubjectChar">
    <w:name w:val="Comment Subject Char"/>
    <w:basedOn w:val="CommentTextChar"/>
    <w:link w:val="CommentSubject"/>
    <w:uiPriority w:val="99"/>
    <w:semiHidden/>
    <w:rsid w:val="007306B5"/>
    <w:rPr>
      <w:b/>
      <w:bCs/>
      <w:sz w:val="20"/>
      <w:szCs w:val="20"/>
    </w:rPr>
  </w:style>
  <w:style w:type="paragraph" w:styleId="BalloonText">
    <w:name w:val="Balloon Text"/>
    <w:basedOn w:val="Normal"/>
    <w:link w:val="BalloonTextChar"/>
    <w:uiPriority w:val="99"/>
    <w:semiHidden/>
    <w:unhideWhenUsed/>
    <w:rsid w:val="00730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B5"/>
    <w:rPr>
      <w:rFonts w:ascii="Segoe UI" w:hAnsi="Segoe UI" w:cs="Segoe UI"/>
      <w:sz w:val="18"/>
      <w:szCs w:val="18"/>
    </w:rPr>
  </w:style>
  <w:style w:type="paragraph" w:customStyle="1" w:styleId="xxmsonormal">
    <w:name w:val="x_xmsonormal"/>
    <w:basedOn w:val="Normal"/>
    <w:uiPriority w:val="99"/>
    <w:rsid w:val="00EF7E98"/>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s.nhs.scot/pharmacy-services/pharmacy-services/nhs-pharmacy-first-scotland-p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Hendren, Sandra</cp:lastModifiedBy>
  <cp:revision>2</cp:revision>
  <dcterms:created xsi:type="dcterms:W3CDTF">2021-10-29T12:25:00Z</dcterms:created>
  <dcterms:modified xsi:type="dcterms:W3CDTF">2021-10-29T12:25:00Z</dcterms:modified>
</cp:coreProperties>
</file>