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BF061" w14:textId="77777777" w:rsidR="00886927" w:rsidRPr="00BD462B" w:rsidRDefault="00886927" w:rsidP="00D0003F">
      <w:pPr>
        <w:framePr w:w="4351" w:hSpace="180" w:wrap="around" w:vAnchor="text" w:hAnchor="page" w:x="7241" w:y="-519"/>
        <w:spacing w:after="0"/>
        <w:rPr>
          <w:rFonts w:ascii="Arial" w:hAnsi="Arial" w:cs="Arial"/>
          <w:noProof/>
        </w:rPr>
      </w:pPr>
      <w:r w:rsidRPr="00BD462B">
        <w:rPr>
          <w:rFonts w:ascii="Arial" w:hAnsi="Arial" w:cs="Arial"/>
          <w:noProof/>
        </w:rPr>
        <w:t>NHS Greater Glasgow and Clyde</w:t>
      </w:r>
    </w:p>
    <w:p w14:paraId="01686813" w14:textId="77777777" w:rsidR="00886927" w:rsidRPr="00BD462B" w:rsidRDefault="00886927" w:rsidP="00D0003F">
      <w:pPr>
        <w:framePr w:w="4351" w:hSpace="180" w:wrap="around" w:vAnchor="text" w:hAnchor="page" w:x="7241" w:y="-519"/>
        <w:spacing w:after="0"/>
        <w:rPr>
          <w:rFonts w:ascii="Arial" w:hAnsi="Arial" w:cs="Arial"/>
          <w:noProof/>
        </w:rPr>
      </w:pPr>
      <w:r w:rsidRPr="00BD462B">
        <w:rPr>
          <w:rFonts w:ascii="Arial" w:hAnsi="Arial" w:cs="Arial"/>
          <w:b/>
          <w:bCs/>
        </w:rPr>
        <w:t>Pharmacy Services</w:t>
      </w:r>
      <w:r w:rsidRPr="00BD462B">
        <w:rPr>
          <w:rFonts w:ascii="Arial" w:hAnsi="Arial" w:cs="Arial"/>
          <w:noProof/>
        </w:rPr>
        <w:t xml:space="preserve"> </w:t>
      </w:r>
    </w:p>
    <w:p w14:paraId="7E0204D4" w14:textId="77777777" w:rsidR="00886927" w:rsidRPr="00BD462B" w:rsidRDefault="00886927" w:rsidP="00D0003F">
      <w:pPr>
        <w:framePr w:w="4351" w:hSpace="180" w:wrap="around" w:vAnchor="text" w:hAnchor="page" w:x="7241" w:y="-519"/>
        <w:spacing w:after="0"/>
        <w:rPr>
          <w:rFonts w:ascii="Arial" w:hAnsi="Arial" w:cs="Arial"/>
          <w:noProof/>
        </w:rPr>
      </w:pPr>
      <w:r w:rsidRPr="00BD462B">
        <w:rPr>
          <w:rFonts w:ascii="Arial" w:hAnsi="Arial" w:cs="Arial"/>
          <w:noProof/>
        </w:rPr>
        <w:t>Clarkston Court</w:t>
      </w:r>
    </w:p>
    <w:p w14:paraId="4060A049" w14:textId="77777777" w:rsidR="00886927" w:rsidRPr="00BD462B" w:rsidRDefault="00886927" w:rsidP="00D0003F">
      <w:pPr>
        <w:framePr w:w="4351" w:hSpace="180" w:wrap="around" w:vAnchor="text" w:hAnchor="page" w:x="7241" w:y="-519"/>
        <w:spacing w:after="0"/>
        <w:rPr>
          <w:rFonts w:ascii="Arial" w:hAnsi="Arial" w:cs="Arial"/>
          <w:noProof/>
        </w:rPr>
      </w:pPr>
      <w:r w:rsidRPr="00BD462B">
        <w:rPr>
          <w:rFonts w:ascii="Arial" w:hAnsi="Arial" w:cs="Arial"/>
          <w:noProof/>
        </w:rPr>
        <w:t>56 Clarkston Road</w:t>
      </w:r>
    </w:p>
    <w:p w14:paraId="74BEB893" w14:textId="77777777" w:rsidR="00886927" w:rsidRPr="00BD462B" w:rsidRDefault="00886927" w:rsidP="00D0003F">
      <w:pPr>
        <w:framePr w:w="4351" w:hSpace="180" w:wrap="around" w:vAnchor="text" w:hAnchor="page" w:x="7241" w:y="-519"/>
        <w:spacing w:after="0"/>
        <w:rPr>
          <w:rFonts w:ascii="Arial" w:hAnsi="Arial" w:cs="Arial"/>
        </w:rPr>
      </w:pPr>
      <w:r w:rsidRPr="00BD462B">
        <w:rPr>
          <w:rFonts w:ascii="Arial" w:hAnsi="Arial" w:cs="Arial"/>
          <w:noProof/>
        </w:rPr>
        <w:t>Glasgow</w:t>
      </w:r>
      <w:r>
        <w:rPr>
          <w:rFonts w:ascii="Arial" w:hAnsi="Arial" w:cs="Arial"/>
          <w:noProof/>
        </w:rPr>
        <w:t xml:space="preserve">   </w:t>
      </w:r>
      <w:r w:rsidRPr="00BD462B">
        <w:rPr>
          <w:rFonts w:ascii="Arial" w:hAnsi="Arial" w:cs="Arial"/>
          <w:noProof/>
        </w:rPr>
        <w:t>G76 7AT</w:t>
      </w:r>
      <w:r w:rsidR="00E003B4">
        <w:rPr>
          <w:noProof/>
          <w:lang w:eastAsia="en-GB"/>
        </w:rPr>
        <w:drawing>
          <wp:anchor distT="0" distB="0" distL="114300" distR="114300" simplePos="0" relativeHeight="251657728" behindDoc="1" locked="1" layoutInCell="1" allowOverlap="1" wp14:anchorId="43AAC0BC" wp14:editId="3607784C">
            <wp:simplePos x="0" y="0"/>
            <wp:positionH relativeFrom="page">
              <wp:posOffset>-2910840</wp:posOffset>
            </wp:positionH>
            <wp:positionV relativeFrom="page">
              <wp:posOffset>-431165</wp:posOffset>
            </wp:positionV>
            <wp:extent cx="1162685" cy="672465"/>
            <wp:effectExtent l="0" t="0" r="0" b="0"/>
            <wp:wrapTight wrapText="bothSides">
              <wp:wrapPolygon edited="0">
                <wp:start x="0" y="0"/>
                <wp:lineTo x="0" y="20805"/>
                <wp:lineTo x="21234" y="20805"/>
                <wp:lineTo x="21234" y="0"/>
                <wp:lineTo x="0" y="0"/>
              </wp:wrapPolygon>
            </wp:wrapTight>
            <wp:docPr id="4"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2685" cy="672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CE094A" w:rsidRDefault="00CE094A" w:rsidP="00886927">
      <w:pPr>
        <w:rPr>
          <w:rFonts w:ascii="Arial" w:hAnsi="Arial" w:cs="Arial"/>
        </w:rPr>
      </w:pPr>
    </w:p>
    <w:p w14:paraId="0A37501D" w14:textId="77777777" w:rsidR="00886927" w:rsidRDefault="00886927">
      <w:pPr>
        <w:rPr>
          <w:rFonts w:ascii="Arial" w:hAnsi="Arial" w:cs="Arial"/>
        </w:rPr>
      </w:pPr>
    </w:p>
    <w:p w14:paraId="5DAB6C7B" w14:textId="77777777" w:rsidR="00886927" w:rsidRDefault="00886927">
      <w:pPr>
        <w:rPr>
          <w:rFonts w:ascii="Arial" w:hAnsi="Arial" w:cs="Arial"/>
        </w:rPr>
      </w:pPr>
    </w:p>
    <w:p w14:paraId="088E51AB" w14:textId="77777777" w:rsidR="00886927" w:rsidRPr="00BD462B" w:rsidRDefault="00886927" w:rsidP="006570C6">
      <w:pPr>
        <w:spacing w:after="0"/>
        <w:ind w:left="5040" w:firstLine="720"/>
        <w:rPr>
          <w:rFonts w:ascii="Arial" w:hAnsi="Arial" w:cs="Arial"/>
        </w:rPr>
      </w:pPr>
      <w:bookmarkStart w:id="0" w:name="_GoBack"/>
      <w:bookmarkEnd w:id="0"/>
      <w:r w:rsidRPr="00BD462B">
        <w:rPr>
          <w:rFonts w:ascii="Arial" w:hAnsi="Arial" w:cs="Arial"/>
          <w:b/>
        </w:rPr>
        <w:t>Date</w:t>
      </w:r>
      <w:r w:rsidRPr="00BD462B">
        <w:rPr>
          <w:rFonts w:ascii="Arial" w:hAnsi="Arial" w:cs="Arial"/>
        </w:rPr>
        <w:t xml:space="preserve">:  </w:t>
      </w:r>
      <w:r w:rsidR="00404AF5">
        <w:rPr>
          <w:rFonts w:ascii="Arial" w:hAnsi="Arial" w:cs="Arial"/>
        </w:rPr>
        <w:t>30</w:t>
      </w:r>
      <w:r w:rsidR="00404AF5" w:rsidRPr="00404AF5">
        <w:rPr>
          <w:rFonts w:ascii="Arial" w:hAnsi="Arial" w:cs="Arial"/>
          <w:vertAlign w:val="superscript"/>
        </w:rPr>
        <w:t>th</w:t>
      </w:r>
      <w:r w:rsidR="00404AF5">
        <w:rPr>
          <w:rFonts w:ascii="Arial" w:hAnsi="Arial" w:cs="Arial"/>
        </w:rPr>
        <w:t xml:space="preserve"> </w:t>
      </w:r>
      <w:r>
        <w:rPr>
          <w:rFonts w:ascii="Arial" w:hAnsi="Arial" w:cs="Arial"/>
        </w:rPr>
        <w:t>December 2021</w:t>
      </w:r>
    </w:p>
    <w:p w14:paraId="02EB378F" w14:textId="77777777" w:rsidR="00886927" w:rsidRDefault="00886927">
      <w:pPr>
        <w:rPr>
          <w:rFonts w:ascii="Arial" w:hAnsi="Arial" w:cs="Arial"/>
        </w:rPr>
      </w:pPr>
    </w:p>
    <w:p w14:paraId="0E2F04C0" w14:textId="77777777" w:rsidR="00396D16" w:rsidRPr="0013141E" w:rsidRDefault="00396D16">
      <w:pPr>
        <w:rPr>
          <w:rFonts w:ascii="Arial" w:hAnsi="Arial" w:cs="Arial"/>
        </w:rPr>
      </w:pPr>
      <w:r w:rsidRPr="0013141E">
        <w:rPr>
          <w:rFonts w:ascii="Arial" w:hAnsi="Arial" w:cs="Arial"/>
        </w:rPr>
        <w:t>Dear colleague</w:t>
      </w:r>
    </w:p>
    <w:p w14:paraId="6DFF7965" w14:textId="77777777" w:rsidR="006570C6" w:rsidRDefault="005A4C10" w:rsidP="00886927">
      <w:pPr>
        <w:pStyle w:val="Default"/>
        <w:jc w:val="both"/>
        <w:rPr>
          <w:b/>
          <w:bCs/>
          <w:sz w:val="22"/>
          <w:szCs w:val="22"/>
        </w:rPr>
      </w:pPr>
      <w:r>
        <w:rPr>
          <w:b/>
          <w:sz w:val="22"/>
          <w:szCs w:val="22"/>
        </w:rPr>
        <w:t xml:space="preserve">LOCAL </w:t>
      </w:r>
      <w:r w:rsidR="003D22A1">
        <w:rPr>
          <w:b/>
          <w:sz w:val="22"/>
          <w:szCs w:val="22"/>
        </w:rPr>
        <w:t xml:space="preserve">ACCESS ARRANGEMENTS </w:t>
      </w:r>
      <w:r>
        <w:rPr>
          <w:b/>
          <w:sz w:val="22"/>
          <w:szCs w:val="22"/>
        </w:rPr>
        <w:t xml:space="preserve">FOR </w:t>
      </w:r>
      <w:r w:rsidR="00396D16" w:rsidRPr="0013141E">
        <w:rPr>
          <w:b/>
          <w:bCs/>
          <w:sz w:val="22"/>
          <w:szCs w:val="22"/>
        </w:rPr>
        <w:t>NEUTRALISING MONOCLONAL ANTIBODIES (nMAB) OR ANTIVIRALS FOR NON-HOSPITALISED PATIENTS WITH COVID-19</w:t>
      </w:r>
    </w:p>
    <w:p w14:paraId="6A05A809" w14:textId="77777777" w:rsidR="006570C6" w:rsidRDefault="006570C6" w:rsidP="00886927">
      <w:pPr>
        <w:pStyle w:val="Default"/>
        <w:jc w:val="both"/>
        <w:rPr>
          <w:b/>
          <w:bCs/>
          <w:sz w:val="22"/>
          <w:szCs w:val="22"/>
        </w:rPr>
      </w:pPr>
    </w:p>
    <w:p w14:paraId="577B9A77" w14:textId="77777777" w:rsidR="00396D16" w:rsidRPr="0013141E" w:rsidRDefault="00AA59AC" w:rsidP="00886927">
      <w:pPr>
        <w:pStyle w:val="Default"/>
        <w:jc w:val="both"/>
        <w:rPr>
          <w:b/>
          <w:bCs/>
          <w:sz w:val="22"/>
          <w:szCs w:val="22"/>
        </w:rPr>
      </w:pPr>
      <w:r>
        <w:rPr>
          <w:b/>
          <w:bCs/>
          <w:sz w:val="22"/>
          <w:szCs w:val="22"/>
        </w:rPr>
        <w:t>UPDATE</w:t>
      </w:r>
      <w:r w:rsidR="008D287C">
        <w:rPr>
          <w:b/>
          <w:bCs/>
          <w:sz w:val="22"/>
          <w:szCs w:val="22"/>
        </w:rPr>
        <w:t>: 30th</w:t>
      </w:r>
      <w:r w:rsidR="00404AF5">
        <w:rPr>
          <w:b/>
          <w:bCs/>
          <w:sz w:val="22"/>
          <w:szCs w:val="22"/>
        </w:rPr>
        <w:t xml:space="preserve"> December 2021</w:t>
      </w:r>
    </w:p>
    <w:p w14:paraId="5A39BBE3" w14:textId="77777777" w:rsidR="00396D16" w:rsidRPr="0013141E" w:rsidRDefault="00396D16" w:rsidP="00396D16">
      <w:pPr>
        <w:pStyle w:val="Default"/>
        <w:rPr>
          <w:b/>
          <w:bCs/>
          <w:sz w:val="22"/>
          <w:szCs w:val="22"/>
        </w:rPr>
      </w:pPr>
    </w:p>
    <w:p w14:paraId="5B437594" w14:textId="77777777" w:rsidR="00396D16" w:rsidRPr="0013141E" w:rsidRDefault="00396D16" w:rsidP="00886927">
      <w:pPr>
        <w:pStyle w:val="Default"/>
        <w:jc w:val="both"/>
        <w:rPr>
          <w:sz w:val="22"/>
          <w:szCs w:val="22"/>
        </w:rPr>
      </w:pPr>
      <w:r w:rsidRPr="0013141E">
        <w:rPr>
          <w:bCs/>
          <w:sz w:val="22"/>
          <w:szCs w:val="22"/>
        </w:rPr>
        <w:t xml:space="preserve">Following publication of interim national </w:t>
      </w:r>
      <w:r w:rsidRPr="0013141E">
        <w:rPr>
          <w:sz w:val="22"/>
          <w:szCs w:val="22"/>
        </w:rPr>
        <w:t>clinical commissioning policy on 16</w:t>
      </w:r>
      <w:r w:rsidRPr="0013141E">
        <w:rPr>
          <w:sz w:val="22"/>
          <w:szCs w:val="22"/>
          <w:vertAlign w:val="superscript"/>
        </w:rPr>
        <w:t>th</w:t>
      </w:r>
      <w:r w:rsidR="002C3C19" w:rsidRPr="0013141E">
        <w:rPr>
          <w:sz w:val="22"/>
          <w:szCs w:val="22"/>
        </w:rPr>
        <w:t xml:space="preserve"> December</w:t>
      </w:r>
      <w:r w:rsidR="0000251E">
        <w:rPr>
          <w:sz w:val="22"/>
          <w:szCs w:val="22"/>
        </w:rPr>
        <w:t xml:space="preserve"> </w:t>
      </w:r>
      <w:hyperlink r:id="rId9" w:history="1">
        <w:r w:rsidR="00574252" w:rsidRPr="00702745">
          <w:rPr>
            <w:rStyle w:val="Hyperlink"/>
            <w:sz w:val="22"/>
            <w:szCs w:val="22"/>
          </w:rPr>
          <w:t>https://www.cas.mhra.gov.uk/ViewandAcknowledgment/ViewAlert.aspx?AlertID=103186</w:t>
        </w:r>
      </w:hyperlink>
      <w:r w:rsidRPr="0013141E">
        <w:rPr>
          <w:sz w:val="22"/>
          <w:szCs w:val="22"/>
        </w:rPr>
        <w:t>, S</w:t>
      </w:r>
      <w:r w:rsidR="000254A1">
        <w:rPr>
          <w:sz w:val="22"/>
          <w:szCs w:val="22"/>
        </w:rPr>
        <w:t xml:space="preserve">cottish Government </w:t>
      </w:r>
      <w:r w:rsidRPr="0013141E">
        <w:rPr>
          <w:sz w:val="22"/>
          <w:szCs w:val="22"/>
        </w:rPr>
        <w:t>have requested that NHS Boards establish local services for the delivery of neutralising monoclonal antibodies or antivirals for non-hospitalised patients with COVID-19.</w:t>
      </w:r>
    </w:p>
    <w:p w14:paraId="41C8F396" w14:textId="77777777" w:rsidR="0013141E" w:rsidRPr="00404AF5" w:rsidRDefault="0013141E" w:rsidP="00396D16">
      <w:pPr>
        <w:pStyle w:val="Default"/>
        <w:rPr>
          <w:b/>
          <w:sz w:val="22"/>
          <w:szCs w:val="22"/>
        </w:rPr>
      </w:pPr>
    </w:p>
    <w:p w14:paraId="5C407499" w14:textId="77777777" w:rsidR="00404AF5" w:rsidRDefault="00396D16" w:rsidP="00404AF5">
      <w:pPr>
        <w:jc w:val="both"/>
        <w:rPr>
          <w:rFonts w:ascii="Arial" w:hAnsi="Arial" w:cs="Arial"/>
          <w:b/>
        </w:rPr>
      </w:pPr>
      <w:r w:rsidRPr="00404AF5">
        <w:rPr>
          <w:rFonts w:ascii="Arial" w:hAnsi="Arial" w:cs="Arial"/>
          <w:b/>
        </w:rPr>
        <w:t xml:space="preserve">The NHS GGC service for delivery of these medicines </w:t>
      </w:r>
      <w:r w:rsidR="00404AF5" w:rsidRPr="00404AF5">
        <w:rPr>
          <w:rFonts w:ascii="Arial" w:hAnsi="Arial" w:cs="Arial"/>
          <w:b/>
        </w:rPr>
        <w:t xml:space="preserve">is now </w:t>
      </w:r>
      <w:r w:rsidRPr="00404AF5">
        <w:rPr>
          <w:rFonts w:ascii="Arial" w:hAnsi="Arial" w:cs="Arial"/>
          <w:b/>
        </w:rPr>
        <w:t>operational</w:t>
      </w:r>
      <w:r w:rsidR="00404AF5" w:rsidRPr="00404AF5">
        <w:rPr>
          <w:rFonts w:ascii="Arial" w:hAnsi="Arial" w:cs="Arial"/>
          <w:b/>
        </w:rPr>
        <w:t>.</w:t>
      </w:r>
      <w:r w:rsidRPr="00404AF5">
        <w:rPr>
          <w:rFonts w:ascii="Arial" w:hAnsi="Arial" w:cs="Arial"/>
          <w:b/>
        </w:rPr>
        <w:t xml:space="preserve"> </w:t>
      </w:r>
    </w:p>
    <w:p w14:paraId="747BE1CE" w14:textId="77777777" w:rsidR="00404AF5" w:rsidRPr="00AA59AC" w:rsidRDefault="00AA59AC" w:rsidP="00404AF5">
      <w:pPr>
        <w:jc w:val="both"/>
        <w:rPr>
          <w:rFonts w:ascii="Arial" w:hAnsi="Arial" w:cs="Arial"/>
        </w:rPr>
      </w:pPr>
      <w:r>
        <w:rPr>
          <w:rFonts w:ascii="Arial" w:hAnsi="Arial" w:cs="Arial"/>
          <w:lang w:eastAsia="en-GB"/>
        </w:rPr>
        <w:t>E</w:t>
      </w:r>
      <w:r w:rsidR="00404AF5" w:rsidRPr="00AA59AC">
        <w:rPr>
          <w:rFonts w:ascii="Arial" w:hAnsi="Arial" w:cs="Arial"/>
          <w:lang w:eastAsia="en-GB"/>
        </w:rPr>
        <w:t xml:space="preserve">ligible patients can access the local service by calling </w:t>
      </w:r>
      <w:r w:rsidR="00404AF5" w:rsidRPr="00AA59AC">
        <w:rPr>
          <w:rFonts w:ascii="Arial" w:hAnsi="Arial" w:cs="Arial"/>
        </w:rPr>
        <w:t>0800 121 7072. Further information for eligible patients and clinicians is available on the NHS Inform web site. NHS GGC are proactively contacting eligible patients by text message inviting them to telephone the service to discuss treatment options.</w:t>
      </w:r>
    </w:p>
    <w:p w14:paraId="180E9135" w14:textId="77777777" w:rsidR="00404AF5" w:rsidRPr="00AA59AC" w:rsidRDefault="000254A1" w:rsidP="00404AF5">
      <w:pPr>
        <w:jc w:val="both"/>
        <w:rPr>
          <w:rFonts w:ascii="Arial" w:hAnsi="Arial" w:cs="Arial"/>
        </w:rPr>
      </w:pPr>
      <w:r w:rsidRPr="00AA59AC">
        <w:rPr>
          <w:rFonts w:ascii="Arial" w:hAnsi="Arial" w:cs="Arial"/>
        </w:rPr>
        <w:t xml:space="preserve">Scottish Government </w:t>
      </w:r>
      <w:r w:rsidR="00404AF5" w:rsidRPr="00AA59AC">
        <w:rPr>
          <w:rFonts w:ascii="Arial" w:hAnsi="Arial" w:cs="Arial"/>
        </w:rPr>
        <w:t>are issuing letters for the highest risk patient groups across Scotland. These letters are being posted to high risk patient groups on Thursday 30</w:t>
      </w:r>
      <w:r w:rsidR="00404AF5" w:rsidRPr="00AA59AC">
        <w:rPr>
          <w:rFonts w:ascii="Arial" w:hAnsi="Arial" w:cs="Arial"/>
          <w:vertAlign w:val="superscript"/>
        </w:rPr>
        <w:t>th</w:t>
      </w:r>
      <w:r w:rsidR="00404AF5" w:rsidRPr="00AA59AC">
        <w:rPr>
          <w:rFonts w:ascii="Arial" w:hAnsi="Arial" w:cs="Arial"/>
        </w:rPr>
        <w:t xml:space="preserve"> December 2021. A copy of this letter is attached for your information.</w:t>
      </w:r>
    </w:p>
    <w:p w14:paraId="3F640F9D" w14:textId="77777777" w:rsidR="00404AF5" w:rsidRPr="00AA59AC" w:rsidRDefault="00404AF5" w:rsidP="00404AF5">
      <w:pPr>
        <w:jc w:val="both"/>
        <w:rPr>
          <w:rFonts w:ascii="Arial" w:hAnsi="Arial" w:cs="Arial"/>
        </w:rPr>
      </w:pPr>
      <w:r w:rsidRPr="00AA59AC">
        <w:rPr>
          <w:rFonts w:ascii="Arial" w:hAnsi="Arial" w:cs="Arial"/>
        </w:rPr>
        <w:t>Please note access arrangements for the loca</w:t>
      </w:r>
      <w:r w:rsidR="00AA59AC" w:rsidRPr="00AA59AC">
        <w:rPr>
          <w:rFonts w:ascii="Arial" w:hAnsi="Arial" w:cs="Arial"/>
        </w:rPr>
        <w:t>l service will remain unchanged</w:t>
      </w:r>
      <w:r w:rsidR="00AA59AC">
        <w:rPr>
          <w:rFonts w:ascii="Arial" w:hAnsi="Arial" w:cs="Arial"/>
        </w:rPr>
        <w:t>.</w:t>
      </w:r>
    </w:p>
    <w:p w14:paraId="15372134" w14:textId="77777777" w:rsidR="000254A1" w:rsidRDefault="000254A1" w:rsidP="000254A1">
      <w:pPr>
        <w:jc w:val="both"/>
        <w:rPr>
          <w:rFonts w:ascii="Arial" w:hAnsi="Arial" w:cs="Arial"/>
          <w:color w:val="000000"/>
        </w:rPr>
      </w:pPr>
      <w:r w:rsidRPr="003D22A1">
        <w:rPr>
          <w:rFonts w:ascii="Arial" w:hAnsi="Arial" w:cs="Arial"/>
          <w:color w:val="000000"/>
        </w:rPr>
        <w:lastRenderedPageBreak/>
        <w:t xml:space="preserve">If you think your patient may be eligible to receive intravenous sotrovimab or oral molnupiravir please ask the patient to call </w:t>
      </w:r>
      <w:r w:rsidRPr="003D22A1">
        <w:rPr>
          <w:rFonts w:ascii="Arial" w:hAnsi="Arial" w:cs="Arial"/>
          <w:b/>
          <w:color w:val="000000"/>
        </w:rPr>
        <w:t>0800 121 7072</w:t>
      </w:r>
      <w:r w:rsidRPr="003D22A1">
        <w:rPr>
          <w:rFonts w:ascii="Arial" w:hAnsi="Arial" w:cs="Arial"/>
          <w:color w:val="000000"/>
        </w:rPr>
        <w:t xml:space="preserve">. </w:t>
      </w:r>
      <w:r w:rsidRPr="00574252">
        <w:rPr>
          <w:rFonts w:ascii="Arial" w:hAnsi="Arial" w:cs="Arial"/>
          <w:color w:val="000000"/>
        </w:rPr>
        <w:t>If the patient is unable to access this service themselves, the clinician can contact this number directly</w:t>
      </w:r>
      <w:r w:rsidRPr="004D0383">
        <w:rPr>
          <w:rFonts w:ascii="Arial" w:hAnsi="Arial" w:cs="Arial"/>
          <w:color w:val="000000"/>
        </w:rPr>
        <w:t>.</w:t>
      </w:r>
      <w:r w:rsidRPr="003D22A1">
        <w:rPr>
          <w:rFonts w:ascii="Arial" w:hAnsi="Arial" w:cs="Arial"/>
          <w:color w:val="000000"/>
        </w:rPr>
        <w:t xml:space="preserve"> This service can be accessed between 10am and 10pm every day. </w:t>
      </w:r>
    </w:p>
    <w:p w14:paraId="2BBE07B1" w14:textId="77777777" w:rsidR="00AA59AC" w:rsidRDefault="00AA59AC" w:rsidP="000254A1">
      <w:pPr>
        <w:jc w:val="both"/>
        <w:rPr>
          <w:rFonts w:ascii="Arial" w:hAnsi="Arial" w:cs="Arial"/>
          <w:color w:val="000000"/>
        </w:rPr>
      </w:pPr>
      <w:r>
        <w:rPr>
          <w:rFonts w:ascii="Arial" w:hAnsi="Arial" w:cs="Arial"/>
        </w:rPr>
        <w:t>P</w:t>
      </w:r>
      <w:r w:rsidRPr="00AA59AC">
        <w:rPr>
          <w:rFonts w:ascii="Arial" w:hAnsi="Arial" w:cs="Arial"/>
        </w:rPr>
        <w:t xml:space="preserve">rescriptions for </w:t>
      </w:r>
      <w:r>
        <w:rPr>
          <w:rFonts w:ascii="Arial" w:hAnsi="Arial" w:cs="Arial"/>
        </w:rPr>
        <w:t xml:space="preserve">oral molnupiravir </w:t>
      </w:r>
      <w:r w:rsidRPr="00AA59AC">
        <w:rPr>
          <w:rFonts w:ascii="Arial" w:hAnsi="Arial" w:cs="Arial"/>
        </w:rPr>
        <w:t>will only be accepted via this local service.</w:t>
      </w:r>
    </w:p>
    <w:p w14:paraId="234CF0D2" w14:textId="77777777" w:rsidR="000254A1" w:rsidRDefault="5863C3BC" w:rsidP="000254A1">
      <w:pPr>
        <w:jc w:val="both"/>
        <w:rPr>
          <w:rFonts w:ascii="Arial" w:hAnsi="Arial" w:cs="Arial"/>
          <w:color w:val="000000"/>
        </w:rPr>
      </w:pPr>
      <w:r w:rsidRPr="5863C3BC">
        <w:rPr>
          <w:rFonts w:ascii="Arial" w:hAnsi="Arial" w:cs="Arial"/>
          <w:color w:val="000000" w:themeColor="text1"/>
        </w:rPr>
        <w:t>Further information is included in Appendix 1 and 2.</w:t>
      </w:r>
    </w:p>
    <w:p w14:paraId="0076EEA3" w14:textId="77777777" w:rsidR="000254A1" w:rsidRDefault="000254A1" w:rsidP="000254A1">
      <w:pPr>
        <w:rPr>
          <w:rFonts w:ascii="Arial" w:hAnsi="Arial" w:cs="Arial"/>
          <w:color w:val="000000"/>
        </w:rPr>
      </w:pPr>
      <w:r>
        <w:rPr>
          <w:rFonts w:ascii="Arial" w:hAnsi="Arial" w:cs="Arial"/>
          <w:color w:val="000000"/>
        </w:rPr>
        <w:t>Yours sincerely,</w:t>
      </w:r>
    </w:p>
    <w:p w14:paraId="652BF324" w14:textId="77777777" w:rsidR="000254A1" w:rsidRDefault="000254A1" w:rsidP="000254A1">
      <w:pPr>
        <w:spacing w:after="0"/>
        <w:rPr>
          <w:rFonts w:ascii="Arial" w:hAnsi="Arial" w:cs="Arial"/>
          <w:color w:val="000000"/>
        </w:rPr>
      </w:pPr>
      <w:r>
        <w:rPr>
          <w:rFonts w:ascii="Arial" w:hAnsi="Arial" w:cs="Arial"/>
          <w:color w:val="000000"/>
        </w:rPr>
        <w:t>Gail Caldwell</w:t>
      </w:r>
    </w:p>
    <w:p w14:paraId="708B5BBB" w14:textId="77777777" w:rsidR="000254A1" w:rsidRDefault="000254A1" w:rsidP="000254A1">
      <w:pPr>
        <w:spacing w:after="0"/>
        <w:rPr>
          <w:rFonts w:ascii="Arial" w:hAnsi="Arial" w:cs="Arial"/>
          <w:color w:val="000000"/>
        </w:rPr>
      </w:pPr>
      <w:r>
        <w:rPr>
          <w:rFonts w:ascii="Arial" w:hAnsi="Arial" w:cs="Arial"/>
          <w:color w:val="000000"/>
        </w:rPr>
        <w:t>Director of Pharmacy</w:t>
      </w:r>
    </w:p>
    <w:p w14:paraId="72A3D3EC" w14:textId="77777777" w:rsidR="005C6591" w:rsidRDefault="005C6591" w:rsidP="000254A1">
      <w:pPr>
        <w:spacing w:after="0"/>
        <w:rPr>
          <w:rFonts w:ascii="Arial" w:hAnsi="Arial" w:cs="Arial"/>
          <w:color w:val="000000"/>
        </w:rPr>
      </w:pPr>
    </w:p>
    <w:p w14:paraId="44216401" w14:textId="77777777" w:rsidR="000254A1" w:rsidRDefault="000254A1" w:rsidP="000254A1">
      <w:pPr>
        <w:spacing w:after="0"/>
        <w:rPr>
          <w:rFonts w:ascii="Arial" w:hAnsi="Arial" w:cs="Arial"/>
          <w:color w:val="000000"/>
        </w:rPr>
      </w:pPr>
      <w:r>
        <w:rPr>
          <w:rFonts w:ascii="Arial" w:hAnsi="Arial" w:cs="Arial"/>
          <w:color w:val="000000"/>
        </w:rPr>
        <w:t>Dr S Davidson</w:t>
      </w:r>
      <w:r>
        <w:rPr>
          <w:rFonts w:ascii="Arial" w:hAnsi="Arial" w:cs="Arial"/>
          <w:color w:val="000000"/>
        </w:rPr>
        <w:tab/>
      </w:r>
    </w:p>
    <w:p w14:paraId="6AAF24E3" w14:textId="77777777" w:rsidR="000254A1" w:rsidRDefault="000254A1" w:rsidP="000254A1">
      <w:pPr>
        <w:spacing w:after="0"/>
        <w:rPr>
          <w:rFonts w:ascii="Arial" w:hAnsi="Arial" w:cs="Arial"/>
          <w:color w:val="000000"/>
        </w:rPr>
      </w:pPr>
      <w:r>
        <w:rPr>
          <w:rFonts w:ascii="Arial" w:hAnsi="Arial" w:cs="Arial"/>
          <w:color w:val="000000"/>
        </w:rPr>
        <w:t>Deputy Medical Director, Acute Care</w:t>
      </w:r>
    </w:p>
    <w:p w14:paraId="0D0B940D" w14:textId="77777777" w:rsidR="005C6591" w:rsidRDefault="005C6591" w:rsidP="000254A1">
      <w:pPr>
        <w:spacing w:after="0"/>
        <w:rPr>
          <w:rFonts w:ascii="Arial" w:hAnsi="Arial" w:cs="Arial"/>
          <w:color w:val="000000"/>
        </w:rPr>
      </w:pPr>
    </w:p>
    <w:p w14:paraId="08FAF19D" w14:textId="77777777" w:rsidR="000254A1" w:rsidRDefault="000254A1" w:rsidP="000254A1">
      <w:pPr>
        <w:spacing w:after="0"/>
        <w:rPr>
          <w:rFonts w:ascii="Arial" w:hAnsi="Arial" w:cs="Arial"/>
          <w:color w:val="000000"/>
        </w:rPr>
      </w:pPr>
      <w:r>
        <w:rPr>
          <w:rFonts w:ascii="Arial" w:hAnsi="Arial" w:cs="Arial"/>
          <w:color w:val="000000"/>
        </w:rPr>
        <w:t>Dr K Neylon</w:t>
      </w:r>
    </w:p>
    <w:p w14:paraId="46E361A1" w14:textId="77777777" w:rsidR="000254A1" w:rsidRDefault="000254A1" w:rsidP="000254A1">
      <w:pPr>
        <w:spacing w:after="0"/>
        <w:rPr>
          <w:rFonts w:ascii="Arial" w:hAnsi="Arial" w:cs="Arial"/>
          <w:color w:val="000000"/>
        </w:rPr>
      </w:pPr>
      <w:r>
        <w:rPr>
          <w:rFonts w:ascii="Arial" w:hAnsi="Arial" w:cs="Arial"/>
          <w:color w:val="000000"/>
        </w:rPr>
        <w:t>Deputy Medical Director, Primary Care</w:t>
      </w:r>
    </w:p>
    <w:p w14:paraId="5A2DBBC6" w14:textId="77777777" w:rsidR="0013141E" w:rsidRPr="00EE3021" w:rsidRDefault="000254A1" w:rsidP="000254A1">
      <w:pPr>
        <w:pStyle w:val="Default"/>
        <w:jc w:val="both"/>
        <w:rPr>
          <w:b/>
          <w:sz w:val="22"/>
          <w:szCs w:val="22"/>
        </w:rPr>
      </w:pPr>
      <w:r>
        <w:br w:type="page"/>
      </w:r>
      <w:r>
        <w:lastRenderedPageBreak/>
        <w:t>Appendix 1</w:t>
      </w:r>
    </w:p>
    <w:p w14:paraId="0E27B00A" w14:textId="77777777" w:rsidR="00396D16" w:rsidRPr="0013141E" w:rsidRDefault="00396D16" w:rsidP="00396D16">
      <w:pPr>
        <w:pStyle w:val="Default"/>
        <w:rPr>
          <w:sz w:val="22"/>
          <w:szCs w:val="22"/>
        </w:rPr>
      </w:pPr>
    </w:p>
    <w:p w14:paraId="2E0A6F91" w14:textId="77777777" w:rsidR="00396D16" w:rsidRPr="0013141E" w:rsidRDefault="00396D16" w:rsidP="00396D16">
      <w:pPr>
        <w:pStyle w:val="Default"/>
        <w:rPr>
          <w:b/>
          <w:sz w:val="22"/>
          <w:szCs w:val="22"/>
        </w:rPr>
      </w:pPr>
      <w:r w:rsidRPr="0013141E">
        <w:rPr>
          <w:b/>
          <w:sz w:val="22"/>
          <w:szCs w:val="22"/>
        </w:rPr>
        <w:t>Background</w:t>
      </w:r>
    </w:p>
    <w:p w14:paraId="60061E4C" w14:textId="77777777" w:rsidR="00396D16" w:rsidRPr="0013141E" w:rsidRDefault="00396D16" w:rsidP="00886927">
      <w:pPr>
        <w:pStyle w:val="Default"/>
        <w:jc w:val="both"/>
        <w:rPr>
          <w:sz w:val="22"/>
          <w:szCs w:val="22"/>
        </w:rPr>
      </w:pPr>
    </w:p>
    <w:p w14:paraId="6C07CAD0" w14:textId="77777777" w:rsidR="002C3C19" w:rsidRPr="0013141E" w:rsidRDefault="002C3C19" w:rsidP="00886927">
      <w:pPr>
        <w:pStyle w:val="Default"/>
        <w:jc w:val="both"/>
        <w:rPr>
          <w:sz w:val="22"/>
          <w:szCs w:val="22"/>
        </w:rPr>
      </w:pPr>
      <w:r w:rsidRPr="0013141E">
        <w:rPr>
          <w:sz w:val="22"/>
          <w:szCs w:val="22"/>
        </w:rPr>
        <w:t xml:space="preserve">Recent evidence suggests that nMABs and oral antivirals significantly improve clinical outcomes in non-hospitalised patients with COVID-19 who are at highest risk of progression to severe disease and/or death. Key findings are: </w:t>
      </w:r>
    </w:p>
    <w:p w14:paraId="44EAFD9C" w14:textId="77777777" w:rsidR="002C3C19" w:rsidRPr="0013141E" w:rsidRDefault="002C3C19" w:rsidP="002C3C19">
      <w:pPr>
        <w:pStyle w:val="Default"/>
        <w:rPr>
          <w:sz w:val="22"/>
          <w:szCs w:val="22"/>
        </w:rPr>
      </w:pPr>
    </w:p>
    <w:p w14:paraId="5BC87E87" w14:textId="77777777" w:rsidR="002C3C19" w:rsidRPr="0013141E" w:rsidRDefault="002C3C19" w:rsidP="00886927">
      <w:pPr>
        <w:pStyle w:val="Default"/>
        <w:jc w:val="both"/>
        <w:rPr>
          <w:sz w:val="22"/>
          <w:szCs w:val="22"/>
        </w:rPr>
      </w:pPr>
      <w:r w:rsidRPr="0013141E">
        <w:rPr>
          <w:sz w:val="22"/>
          <w:szCs w:val="22"/>
        </w:rPr>
        <w:t>• Sotrovimab administered intravenously to non-hospitalised patients with mild-to-moderate disease and at least one risk factor for disease progression decreased the risk of hospitalisation or death by 85% (Gupta et al, 2021</w:t>
      </w:r>
      <w:r w:rsidR="0000251E">
        <w:rPr>
          <w:sz w:val="22"/>
          <w:szCs w:val="22"/>
        </w:rPr>
        <w:t xml:space="preserve">  </w:t>
      </w:r>
      <w:hyperlink r:id="rId10" w:history="1">
        <w:r w:rsidR="0000251E" w:rsidRPr="00574252">
          <w:rPr>
            <w:rStyle w:val="Hyperlink"/>
            <w:sz w:val="22"/>
            <w:szCs w:val="22"/>
          </w:rPr>
          <w:t>https://www.nejm.org/doi/full/10.1056/NEJMoa2107934</w:t>
        </w:r>
      </w:hyperlink>
      <w:r w:rsidRPr="0013141E">
        <w:rPr>
          <w:sz w:val="22"/>
          <w:szCs w:val="22"/>
        </w:rPr>
        <w:t xml:space="preserve"> </w:t>
      </w:r>
    </w:p>
    <w:p w14:paraId="4B94D5A5" w14:textId="77777777" w:rsidR="002C3C19" w:rsidRPr="0013141E" w:rsidRDefault="002C3C19" w:rsidP="00886927">
      <w:pPr>
        <w:pStyle w:val="Default"/>
        <w:jc w:val="both"/>
        <w:rPr>
          <w:sz w:val="22"/>
          <w:szCs w:val="22"/>
        </w:rPr>
      </w:pPr>
    </w:p>
    <w:p w14:paraId="44A7C4D7" w14:textId="77777777" w:rsidR="002C3C19" w:rsidRPr="0013141E" w:rsidRDefault="002C3C19" w:rsidP="00886927">
      <w:pPr>
        <w:pStyle w:val="Default"/>
        <w:jc w:val="both"/>
        <w:rPr>
          <w:sz w:val="22"/>
          <w:szCs w:val="22"/>
        </w:rPr>
      </w:pPr>
      <w:r w:rsidRPr="0013141E">
        <w:rPr>
          <w:sz w:val="22"/>
          <w:szCs w:val="22"/>
        </w:rPr>
        <w:t xml:space="preserve">• Final results from the Phase 3 MOVe-OUT trial show that the oral antiviral molnupiravir resulted in a relative risk reduction of 30% in the composite primary outcome of hospitalisation or death at day 29 (6.8% in the molnupiravir group vs 9.7% in the placebo group, p=0.0218). </w:t>
      </w:r>
    </w:p>
    <w:p w14:paraId="3DEEC669" w14:textId="77777777" w:rsidR="002C3C19" w:rsidRPr="0013141E" w:rsidRDefault="002C3C19" w:rsidP="00886927">
      <w:pPr>
        <w:pStyle w:val="Default"/>
        <w:jc w:val="both"/>
        <w:rPr>
          <w:sz w:val="23"/>
          <w:szCs w:val="23"/>
        </w:rPr>
      </w:pPr>
    </w:p>
    <w:p w14:paraId="586EAF76" w14:textId="77777777" w:rsidR="002C3C19" w:rsidRPr="0013141E"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xml:space="preserve">Patients must meet all of the eligibility criteria and none of the exclusion criteria. </w:t>
      </w:r>
      <w:r w:rsidR="0000251E">
        <w:rPr>
          <w:rFonts w:ascii="Arial" w:hAnsi="Arial" w:cs="Arial"/>
          <w:color w:val="000000"/>
          <w:sz w:val="23"/>
          <w:szCs w:val="23"/>
          <w:lang w:eastAsia="en-GB"/>
        </w:rPr>
        <w:t>Non</w:t>
      </w:r>
      <w:r w:rsidRPr="002C3C19">
        <w:rPr>
          <w:rFonts w:ascii="Arial" w:hAnsi="Arial" w:cs="Arial"/>
          <w:color w:val="000000"/>
          <w:sz w:val="23"/>
          <w:szCs w:val="23"/>
          <w:lang w:eastAsia="en-GB"/>
        </w:rPr>
        <w:t>-hospitalised patients are eligible for treatment</w:t>
      </w:r>
      <w:r w:rsidRPr="0013141E">
        <w:rPr>
          <w:rFonts w:ascii="Arial" w:hAnsi="Arial" w:cs="Arial"/>
          <w:color w:val="000000"/>
          <w:sz w:val="16"/>
          <w:szCs w:val="16"/>
          <w:lang w:eastAsia="en-GB"/>
        </w:rPr>
        <w:t xml:space="preserve"> </w:t>
      </w:r>
      <w:r w:rsidRPr="002C3C19">
        <w:rPr>
          <w:rFonts w:ascii="Arial" w:hAnsi="Arial" w:cs="Arial"/>
          <w:color w:val="000000"/>
          <w:sz w:val="23"/>
          <w:szCs w:val="23"/>
          <w:lang w:eastAsia="en-GB"/>
        </w:rPr>
        <w:t xml:space="preserve">if: </w:t>
      </w:r>
    </w:p>
    <w:p w14:paraId="3656B9AB" w14:textId="77777777" w:rsidR="0013141E" w:rsidRPr="0013141E" w:rsidRDefault="0013141E" w:rsidP="00886927">
      <w:pPr>
        <w:autoSpaceDE w:val="0"/>
        <w:autoSpaceDN w:val="0"/>
        <w:adjustRightInd w:val="0"/>
        <w:spacing w:after="0" w:line="240" w:lineRule="auto"/>
        <w:jc w:val="both"/>
        <w:rPr>
          <w:rFonts w:ascii="Arial" w:hAnsi="Arial" w:cs="Arial"/>
          <w:color w:val="000000"/>
          <w:sz w:val="23"/>
          <w:szCs w:val="23"/>
          <w:lang w:eastAsia="en-GB"/>
        </w:rPr>
      </w:pPr>
    </w:p>
    <w:p w14:paraId="6621899E"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xml:space="preserve">• SARS-CoV-2 infection is confirmed by polymerase chain reaction (PCR) testing within the last 5 days </w:t>
      </w:r>
    </w:p>
    <w:p w14:paraId="45FB0818"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p>
    <w:p w14:paraId="1EB82616"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xml:space="preserve">AND </w:t>
      </w:r>
    </w:p>
    <w:p w14:paraId="170F43BC"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Onset of symptoms of COVID-19</w:t>
      </w:r>
      <w:r w:rsidRPr="0013141E">
        <w:rPr>
          <w:rFonts w:ascii="Arial" w:hAnsi="Arial" w:cs="Arial"/>
          <w:color w:val="000000"/>
          <w:sz w:val="16"/>
          <w:szCs w:val="16"/>
          <w:lang w:eastAsia="en-GB"/>
        </w:rPr>
        <w:t xml:space="preserve"> </w:t>
      </w:r>
      <w:r w:rsidRPr="002C3C19">
        <w:rPr>
          <w:rFonts w:ascii="Arial" w:hAnsi="Arial" w:cs="Arial"/>
          <w:color w:val="000000"/>
          <w:sz w:val="23"/>
          <w:szCs w:val="23"/>
          <w:lang w:eastAsia="en-GB"/>
        </w:rPr>
        <w:t xml:space="preserve">within the last 5 days </w:t>
      </w:r>
    </w:p>
    <w:p w14:paraId="049F31CB"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p>
    <w:p w14:paraId="24FF3066" w14:textId="77777777" w:rsidR="002C3C19" w:rsidRPr="0013141E"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xml:space="preserve">AND </w:t>
      </w:r>
    </w:p>
    <w:p w14:paraId="2D7D544D" w14:textId="77777777" w:rsidR="002C3C19" w:rsidRPr="002C3C19" w:rsidRDefault="002C3C19" w:rsidP="00886927">
      <w:pPr>
        <w:autoSpaceDE w:val="0"/>
        <w:autoSpaceDN w:val="0"/>
        <w:adjustRightInd w:val="0"/>
        <w:spacing w:after="0" w:line="240" w:lineRule="auto"/>
        <w:jc w:val="both"/>
        <w:rPr>
          <w:rFonts w:ascii="Arial" w:hAnsi="Arial" w:cs="Arial"/>
          <w:color w:val="000000"/>
          <w:sz w:val="23"/>
          <w:szCs w:val="23"/>
          <w:lang w:eastAsia="en-GB"/>
        </w:rPr>
      </w:pPr>
      <w:r w:rsidRPr="002C3C19">
        <w:rPr>
          <w:rFonts w:ascii="Arial" w:hAnsi="Arial" w:cs="Arial"/>
          <w:color w:val="000000"/>
          <w:sz w:val="23"/>
          <w:szCs w:val="23"/>
          <w:lang w:eastAsia="en-GB"/>
        </w:rPr>
        <w:t xml:space="preserve">• </w:t>
      </w:r>
      <w:r w:rsidR="0000251E">
        <w:rPr>
          <w:rFonts w:ascii="Arial" w:hAnsi="Arial" w:cs="Arial"/>
          <w:color w:val="000000"/>
          <w:sz w:val="23"/>
          <w:szCs w:val="23"/>
          <w:lang w:eastAsia="en-GB"/>
        </w:rPr>
        <w:t>They are a</w:t>
      </w:r>
      <w:r w:rsidRPr="002C3C19">
        <w:rPr>
          <w:rFonts w:ascii="Arial" w:hAnsi="Arial" w:cs="Arial"/>
          <w:color w:val="000000"/>
          <w:sz w:val="23"/>
          <w:szCs w:val="23"/>
          <w:lang w:eastAsia="en-GB"/>
        </w:rPr>
        <w:t xml:space="preserve"> member of a ‘highest’ risk group (as defined in Appendix 1). </w:t>
      </w:r>
    </w:p>
    <w:p w14:paraId="52B30AF0" w14:textId="77777777" w:rsidR="00DC5312" w:rsidRPr="00574252" w:rsidRDefault="00DC5312" w:rsidP="00DC5312">
      <w:pPr>
        <w:spacing w:after="0" w:line="240" w:lineRule="auto"/>
        <w:textAlignment w:val="baseline"/>
        <w:rPr>
          <w:rFonts w:ascii="Arial" w:eastAsia="Times New Roman" w:hAnsi="Arial" w:cs="Arial"/>
          <w:sz w:val="24"/>
          <w:szCs w:val="24"/>
          <w:lang w:eastAsia="en-GB"/>
        </w:rPr>
      </w:pPr>
      <w:r w:rsidRPr="00574252">
        <w:rPr>
          <w:rFonts w:ascii="Arial" w:eastAsia="Times New Roman" w:hAnsi="Arial" w:cs="Arial"/>
          <w:b/>
          <w:bCs/>
          <w:color w:val="000000"/>
          <w:kern w:val="24"/>
          <w:u w:val="single"/>
          <w:lang w:eastAsia="en-GB"/>
        </w:rPr>
        <w:t>Exclusion criteria</w:t>
      </w:r>
      <w:r w:rsidR="00281F6D">
        <w:rPr>
          <w:rFonts w:ascii="Arial" w:eastAsia="Times New Roman" w:hAnsi="Arial" w:cs="Arial"/>
          <w:b/>
          <w:bCs/>
          <w:color w:val="000000"/>
          <w:kern w:val="24"/>
          <w:u w:val="single"/>
          <w:lang w:eastAsia="en-GB"/>
        </w:rPr>
        <w:t>:</w:t>
      </w:r>
    </w:p>
    <w:p w14:paraId="36E71567" w14:textId="77777777" w:rsidR="00DC5312" w:rsidRPr="00574252" w:rsidRDefault="00DC5312" w:rsidP="00886927">
      <w:pPr>
        <w:spacing w:after="0" w:line="240" w:lineRule="auto"/>
        <w:jc w:val="both"/>
        <w:textAlignment w:val="baseline"/>
        <w:rPr>
          <w:rFonts w:ascii="Arial" w:eastAsia="Times New Roman" w:hAnsi="Arial" w:cs="Arial"/>
          <w:sz w:val="24"/>
          <w:szCs w:val="24"/>
          <w:lang w:eastAsia="en-GB"/>
        </w:rPr>
      </w:pPr>
      <w:r w:rsidRPr="00574252">
        <w:rPr>
          <w:rFonts w:ascii="Arial" w:eastAsia="Times New Roman" w:hAnsi="Arial" w:cs="Arial"/>
          <w:color w:val="000000"/>
          <w:kern w:val="24"/>
          <w:lang w:eastAsia="en-GB"/>
        </w:rPr>
        <w:t xml:space="preserve">• Patient requires hospitalisation for COVID-19 </w:t>
      </w:r>
    </w:p>
    <w:p w14:paraId="6025A531" w14:textId="77777777" w:rsidR="00DC5312" w:rsidRPr="00574252" w:rsidRDefault="00DC5312" w:rsidP="00886927">
      <w:pPr>
        <w:spacing w:after="0" w:line="240" w:lineRule="auto"/>
        <w:jc w:val="both"/>
        <w:textAlignment w:val="baseline"/>
        <w:rPr>
          <w:rFonts w:ascii="Arial" w:eastAsia="Times New Roman" w:hAnsi="Arial" w:cs="Arial"/>
          <w:sz w:val="24"/>
          <w:szCs w:val="24"/>
          <w:lang w:eastAsia="en-GB"/>
        </w:rPr>
      </w:pPr>
      <w:r w:rsidRPr="00574252">
        <w:rPr>
          <w:rFonts w:ascii="Arial" w:eastAsia="Times New Roman" w:hAnsi="Arial" w:cs="Arial"/>
          <w:color w:val="000000"/>
          <w:kern w:val="24"/>
          <w:lang w:eastAsia="en-GB"/>
        </w:rPr>
        <w:t xml:space="preserve">• New supplemental oxygen requirement specifically for the management of COVID-19 symptoms </w:t>
      </w:r>
    </w:p>
    <w:p w14:paraId="3DC644CA" w14:textId="77777777" w:rsidR="00DC5312" w:rsidRPr="00574252" w:rsidRDefault="00DC5312" w:rsidP="00886927">
      <w:pPr>
        <w:spacing w:after="0" w:line="240" w:lineRule="auto"/>
        <w:jc w:val="both"/>
        <w:textAlignment w:val="baseline"/>
        <w:rPr>
          <w:rFonts w:ascii="Arial" w:eastAsia="Times New Roman" w:hAnsi="Arial" w:cs="Arial"/>
          <w:sz w:val="24"/>
          <w:szCs w:val="24"/>
          <w:lang w:eastAsia="en-GB"/>
        </w:rPr>
      </w:pPr>
      <w:r w:rsidRPr="00574252">
        <w:rPr>
          <w:rFonts w:ascii="Arial" w:eastAsia="Times New Roman" w:hAnsi="Arial" w:cs="Arial"/>
          <w:color w:val="000000"/>
          <w:kern w:val="24"/>
          <w:lang w:eastAsia="en-GB"/>
        </w:rPr>
        <w:t>• Weight &lt;40kg for sotrovimab</w:t>
      </w:r>
    </w:p>
    <w:p w14:paraId="58075317" w14:textId="77777777" w:rsidR="00DC5312" w:rsidRPr="00574252" w:rsidRDefault="00DC5312" w:rsidP="00886927">
      <w:pPr>
        <w:spacing w:after="0" w:line="240" w:lineRule="auto"/>
        <w:jc w:val="both"/>
        <w:textAlignment w:val="baseline"/>
        <w:rPr>
          <w:rFonts w:ascii="Arial" w:eastAsia="Times New Roman" w:hAnsi="Arial" w:cs="Arial"/>
          <w:sz w:val="24"/>
          <w:szCs w:val="24"/>
          <w:lang w:eastAsia="en-GB"/>
        </w:rPr>
      </w:pPr>
      <w:r w:rsidRPr="00574252">
        <w:rPr>
          <w:rFonts w:ascii="Arial" w:eastAsia="Times New Roman" w:hAnsi="Arial" w:cs="Arial"/>
          <w:color w:val="000000"/>
          <w:kern w:val="24"/>
          <w:lang w:eastAsia="en-GB"/>
        </w:rPr>
        <w:lastRenderedPageBreak/>
        <w:t>•</w:t>
      </w:r>
      <w:r w:rsidRPr="00DC5312">
        <w:rPr>
          <w:rFonts w:ascii="Arial" w:eastAsia="Times New Roman" w:hAnsi="Arial" w:cs="Arial"/>
          <w:color w:val="000000"/>
          <w:kern w:val="24"/>
          <w:lang w:eastAsia="en-GB"/>
        </w:rPr>
        <w:t xml:space="preserve"> Children aged under 12 years (s</w:t>
      </w:r>
      <w:r w:rsidRPr="00574252">
        <w:rPr>
          <w:rFonts w:ascii="Arial" w:eastAsia="Times New Roman" w:hAnsi="Arial" w:cs="Arial"/>
          <w:color w:val="000000"/>
          <w:kern w:val="24"/>
          <w:lang w:eastAsia="en-GB"/>
        </w:rPr>
        <w:t>otrovimab) or und</w:t>
      </w:r>
      <w:r w:rsidRPr="00DC5312">
        <w:rPr>
          <w:rFonts w:ascii="Arial" w:eastAsia="Times New Roman" w:hAnsi="Arial" w:cs="Arial"/>
          <w:color w:val="000000"/>
          <w:kern w:val="24"/>
          <w:lang w:eastAsia="en-GB"/>
        </w:rPr>
        <w:t>er 18 years (for m</w:t>
      </w:r>
      <w:r w:rsidRPr="00574252">
        <w:rPr>
          <w:rFonts w:ascii="Arial" w:eastAsia="Times New Roman" w:hAnsi="Arial" w:cs="Arial"/>
          <w:color w:val="000000"/>
          <w:kern w:val="24"/>
          <w:lang w:eastAsia="en-GB"/>
        </w:rPr>
        <w:t>olnupiravir)</w:t>
      </w:r>
    </w:p>
    <w:p w14:paraId="53128261" w14:textId="77777777" w:rsidR="002C3C19" w:rsidRDefault="002C3C19" w:rsidP="00886927">
      <w:pPr>
        <w:jc w:val="both"/>
        <w:rPr>
          <w:rFonts w:ascii="Arial" w:hAnsi="Arial" w:cs="Arial"/>
          <w:color w:val="000000"/>
          <w:sz w:val="23"/>
          <w:szCs w:val="23"/>
          <w:lang w:eastAsia="en-GB"/>
        </w:rPr>
      </w:pPr>
    </w:p>
    <w:p w14:paraId="0E0287E3" w14:textId="77777777" w:rsidR="00E971BA" w:rsidRPr="00E971BA" w:rsidRDefault="00E971BA" w:rsidP="00396D16">
      <w:pPr>
        <w:jc w:val="both"/>
        <w:rPr>
          <w:rFonts w:ascii="Arial" w:hAnsi="Arial" w:cs="Arial"/>
          <w:b/>
          <w:color w:val="000000"/>
          <w:sz w:val="23"/>
          <w:szCs w:val="23"/>
          <w:lang w:eastAsia="en-GB"/>
        </w:rPr>
      </w:pPr>
      <w:r w:rsidRPr="00E971BA">
        <w:rPr>
          <w:rFonts w:ascii="Arial" w:hAnsi="Arial" w:cs="Arial"/>
          <w:b/>
          <w:color w:val="000000"/>
          <w:sz w:val="23"/>
          <w:szCs w:val="23"/>
          <w:lang w:eastAsia="en-GB"/>
        </w:rPr>
        <w:t>Guidance</w:t>
      </w:r>
    </w:p>
    <w:p w14:paraId="0197AB99" w14:textId="77777777" w:rsidR="00281F6D" w:rsidRDefault="002C3C19" w:rsidP="00886927">
      <w:pPr>
        <w:jc w:val="both"/>
        <w:rPr>
          <w:rStyle w:val="A1"/>
          <w:rFonts w:ascii="Arial" w:hAnsi="Arial" w:cs="Arial"/>
        </w:rPr>
      </w:pPr>
      <w:r w:rsidRPr="0013141E">
        <w:rPr>
          <w:rStyle w:val="A1"/>
          <w:rFonts w:ascii="Arial" w:hAnsi="Arial" w:cs="Arial"/>
        </w:rPr>
        <w:t>Links to the nMAB access policies that were published on the 16</w:t>
      </w:r>
      <w:r w:rsidRPr="0013141E">
        <w:rPr>
          <w:rStyle w:val="A1"/>
          <w:rFonts w:ascii="Arial" w:hAnsi="Arial" w:cs="Arial"/>
          <w:vertAlign w:val="superscript"/>
        </w:rPr>
        <w:t>th</w:t>
      </w:r>
      <w:r w:rsidRPr="0013141E">
        <w:rPr>
          <w:rStyle w:val="A1"/>
          <w:rFonts w:ascii="Arial" w:hAnsi="Arial" w:cs="Arial"/>
        </w:rPr>
        <w:t xml:space="preserve"> December can be found </w:t>
      </w:r>
      <w:r w:rsidR="0013141E" w:rsidRPr="0013141E">
        <w:rPr>
          <w:rStyle w:val="A1"/>
          <w:rFonts w:ascii="Arial" w:hAnsi="Arial" w:cs="Arial"/>
        </w:rPr>
        <w:t xml:space="preserve">here. </w:t>
      </w:r>
      <w:hyperlink r:id="rId11" w:history="1">
        <w:r w:rsidR="0000251E" w:rsidRPr="00C911FF">
          <w:rPr>
            <w:rStyle w:val="Hyperlink"/>
            <w:rFonts w:ascii="Arial" w:hAnsi="Arial" w:cs="Arial"/>
          </w:rPr>
          <w:t>https://www.cas.mhra.gov.uk/ViewandAcknowledgment/ViewAlert.aspx?AlertID=103186</w:t>
        </w:r>
      </w:hyperlink>
      <w:r w:rsidR="0000251E">
        <w:rPr>
          <w:rStyle w:val="A1"/>
          <w:rFonts w:ascii="Arial" w:hAnsi="Arial" w:cs="Arial"/>
        </w:rPr>
        <w:t xml:space="preserve">  </w:t>
      </w:r>
    </w:p>
    <w:p w14:paraId="0141E95F" w14:textId="77777777" w:rsidR="002C3C19" w:rsidRPr="00EE3021" w:rsidRDefault="0013141E" w:rsidP="00886927">
      <w:pPr>
        <w:jc w:val="both"/>
        <w:rPr>
          <w:rFonts w:ascii="Arial" w:hAnsi="Arial" w:cs="Arial"/>
          <w:b/>
        </w:rPr>
      </w:pPr>
      <w:r w:rsidRPr="00EE3021">
        <w:rPr>
          <w:rFonts w:ascii="Arial" w:hAnsi="Arial" w:cs="Arial"/>
          <w:b/>
        </w:rPr>
        <w:t>The eligible patients as outlined in this policy should initially be considered for treatment with an nMAB (sotrovimab). Where an nMAB is contraindicated or the administration of an nMAB is not possible, patients may be treated with a five-day course of molnupiravir if the onset of symptoms is in the last 5 days.</w:t>
      </w:r>
    </w:p>
    <w:p w14:paraId="2966FF75" w14:textId="77777777" w:rsidR="0013141E" w:rsidRDefault="0013141E" w:rsidP="00886927">
      <w:pPr>
        <w:jc w:val="both"/>
        <w:rPr>
          <w:rFonts w:ascii="Arial" w:hAnsi="Arial" w:cs="Arial"/>
          <w:lang w:val="en-US"/>
        </w:rPr>
      </w:pPr>
      <w:r w:rsidRPr="0013141E">
        <w:rPr>
          <w:rFonts w:ascii="Arial" w:hAnsi="Arial" w:cs="Arial"/>
        </w:rPr>
        <w:t xml:space="preserve">In parallel, </w:t>
      </w:r>
      <w:r w:rsidRPr="0013141E">
        <w:rPr>
          <w:rFonts w:ascii="Arial" w:hAnsi="Arial" w:cs="Arial"/>
          <w:lang w:val="en-US"/>
        </w:rPr>
        <w:t xml:space="preserve">a clinical trial (PANORAMIC) of oral molnupiravir versus standard care is available.  Where an individual from the highest risk cohort meets the eligibility criteria for </w:t>
      </w:r>
      <w:r w:rsidRPr="00C22EB8">
        <w:rPr>
          <w:rFonts w:ascii="Arial" w:hAnsi="Arial" w:cs="Arial"/>
          <w:lang w:val="en-US"/>
        </w:rPr>
        <w:t>both the clinical trial</w:t>
      </w:r>
      <w:r w:rsidR="005A4C10">
        <w:rPr>
          <w:rFonts w:ascii="Arial" w:hAnsi="Arial" w:cs="Arial"/>
          <w:lang w:val="en-US"/>
        </w:rPr>
        <w:t xml:space="preserve"> and for local </w:t>
      </w:r>
      <w:r w:rsidRPr="00C22EB8">
        <w:rPr>
          <w:rFonts w:ascii="Arial" w:hAnsi="Arial" w:cs="Arial"/>
          <w:lang w:val="en-US"/>
        </w:rPr>
        <w:t xml:space="preserve">access to these new COVID-19 treatments, they are </w:t>
      </w:r>
      <w:r w:rsidR="00DC5312">
        <w:rPr>
          <w:rFonts w:ascii="Arial" w:hAnsi="Arial" w:cs="Arial"/>
          <w:lang w:val="en-US"/>
        </w:rPr>
        <w:t xml:space="preserve">to </w:t>
      </w:r>
      <w:r w:rsidR="005A4C10">
        <w:rPr>
          <w:rFonts w:ascii="Arial" w:hAnsi="Arial" w:cs="Arial"/>
          <w:lang w:val="en-US"/>
        </w:rPr>
        <w:t xml:space="preserve">be signposted to the local </w:t>
      </w:r>
      <w:r w:rsidRPr="00C22EB8">
        <w:rPr>
          <w:rFonts w:ascii="Arial" w:hAnsi="Arial" w:cs="Arial"/>
          <w:lang w:val="en-US"/>
        </w:rPr>
        <w:t>access arrangements.</w:t>
      </w:r>
      <w:r w:rsidR="0000251E">
        <w:rPr>
          <w:rFonts w:ascii="Arial" w:hAnsi="Arial" w:cs="Arial"/>
          <w:lang w:val="en-US"/>
        </w:rPr>
        <w:t xml:space="preserve"> </w:t>
      </w:r>
      <w:hyperlink r:id="rId12" w:history="1">
        <w:r w:rsidR="00574252" w:rsidRPr="00702745">
          <w:rPr>
            <w:rStyle w:val="Hyperlink"/>
            <w:rFonts w:ascii="Arial" w:hAnsi="Arial" w:cs="Arial"/>
            <w:lang w:val="en-US"/>
          </w:rPr>
          <w:t>https://www.nhsinform.scot/illnesses-and-conditions/infections-and-poisoning/coronavirus-covid-19/coronavirus-covid-19-treatments</w:t>
        </w:r>
      </w:hyperlink>
    </w:p>
    <w:p w14:paraId="0E888F7D" w14:textId="77777777" w:rsidR="006570C6" w:rsidRPr="006570C6" w:rsidRDefault="006570C6" w:rsidP="006570C6">
      <w:pPr>
        <w:jc w:val="both"/>
        <w:rPr>
          <w:rFonts w:ascii="Arial" w:hAnsi="Arial" w:cs="Arial"/>
          <w:b/>
          <w:lang w:val="en-US"/>
        </w:rPr>
      </w:pPr>
      <w:r w:rsidRPr="006570C6">
        <w:rPr>
          <w:rFonts w:ascii="Arial" w:hAnsi="Arial" w:cs="Arial"/>
          <w:b/>
          <w:lang w:val="en-US"/>
        </w:rPr>
        <w:t>Overview of NHS GGC initial access arrangements for nMAB and oral antivirals</w:t>
      </w:r>
    </w:p>
    <w:p w14:paraId="09C1ADB4" w14:textId="77777777" w:rsidR="00EE3021" w:rsidRDefault="000652A3" w:rsidP="00886927">
      <w:pPr>
        <w:jc w:val="both"/>
        <w:rPr>
          <w:rFonts w:ascii="Arial" w:hAnsi="Arial" w:cs="Arial"/>
          <w:color w:val="000000"/>
        </w:rPr>
      </w:pPr>
      <w:r>
        <w:rPr>
          <w:rFonts w:ascii="Arial" w:hAnsi="Arial" w:cs="Arial"/>
          <w:color w:val="000000"/>
          <w:lang w:eastAsia="en-GB"/>
        </w:rPr>
        <w:t xml:space="preserve">From </w:t>
      </w:r>
      <w:r w:rsidR="0013141E" w:rsidRPr="00C22EB8">
        <w:rPr>
          <w:rFonts w:ascii="Arial" w:hAnsi="Arial" w:cs="Arial"/>
          <w:color w:val="000000"/>
          <w:lang w:eastAsia="en-GB"/>
        </w:rPr>
        <w:t>Wednesday 22</w:t>
      </w:r>
      <w:r w:rsidR="0013141E" w:rsidRPr="00C22EB8">
        <w:rPr>
          <w:rFonts w:ascii="Arial" w:hAnsi="Arial" w:cs="Arial"/>
          <w:color w:val="000000"/>
          <w:vertAlign w:val="superscript"/>
          <w:lang w:eastAsia="en-GB"/>
        </w:rPr>
        <w:t>nd</w:t>
      </w:r>
      <w:r w:rsidR="0013141E" w:rsidRPr="00C22EB8">
        <w:rPr>
          <w:rFonts w:ascii="Arial" w:hAnsi="Arial" w:cs="Arial"/>
          <w:color w:val="000000"/>
          <w:lang w:eastAsia="en-GB"/>
        </w:rPr>
        <w:t xml:space="preserve"> December el</w:t>
      </w:r>
      <w:r w:rsidR="006570C6">
        <w:rPr>
          <w:rFonts w:ascii="Arial" w:hAnsi="Arial" w:cs="Arial"/>
          <w:color w:val="000000"/>
          <w:lang w:eastAsia="en-GB"/>
        </w:rPr>
        <w:t xml:space="preserve">igible patients can </w:t>
      </w:r>
      <w:r w:rsidR="0013141E" w:rsidRPr="00C22EB8">
        <w:rPr>
          <w:rFonts w:ascii="Arial" w:hAnsi="Arial" w:cs="Arial"/>
          <w:color w:val="000000"/>
          <w:lang w:eastAsia="en-GB"/>
        </w:rPr>
        <w:t xml:space="preserve">access the local service by calling </w:t>
      </w:r>
      <w:r w:rsidR="0013141E" w:rsidRPr="00C22EB8">
        <w:rPr>
          <w:rFonts w:ascii="Arial" w:hAnsi="Arial" w:cs="Arial"/>
          <w:b/>
          <w:color w:val="000000"/>
        </w:rPr>
        <w:t>0800 121 7072</w:t>
      </w:r>
      <w:r w:rsidR="00EE3021">
        <w:rPr>
          <w:rFonts w:ascii="Arial" w:hAnsi="Arial" w:cs="Arial"/>
          <w:b/>
          <w:color w:val="000000"/>
        </w:rPr>
        <w:t>.</w:t>
      </w:r>
      <w:r w:rsidR="0013141E" w:rsidRPr="00C22EB8">
        <w:rPr>
          <w:rFonts w:ascii="Arial" w:hAnsi="Arial" w:cs="Arial"/>
          <w:color w:val="000000"/>
        </w:rPr>
        <w:t xml:space="preserve"> Further information </w:t>
      </w:r>
      <w:r>
        <w:rPr>
          <w:rFonts w:ascii="Arial" w:hAnsi="Arial" w:cs="Arial"/>
          <w:color w:val="000000"/>
        </w:rPr>
        <w:t xml:space="preserve">for eligible patients and clinicians </w:t>
      </w:r>
      <w:r w:rsidR="00404AF5">
        <w:rPr>
          <w:rFonts w:ascii="Arial" w:hAnsi="Arial" w:cs="Arial"/>
          <w:color w:val="000000"/>
        </w:rPr>
        <w:t xml:space="preserve">is </w:t>
      </w:r>
      <w:r w:rsidR="0013141E" w:rsidRPr="00C22EB8">
        <w:rPr>
          <w:rFonts w:ascii="Arial" w:hAnsi="Arial" w:cs="Arial"/>
          <w:color w:val="000000"/>
        </w:rPr>
        <w:t>available on the NHS Inform web site</w:t>
      </w:r>
      <w:r w:rsidR="00C22EB8" w:rsidRPr="00C22EB8">
        <w:rPr>
          <w:rFonts w:ascii="Arial" w:hAnsi="Arial" w:cs="Arial"/>
          <w:color w:val="000000"/>
        </w:rPr>
        <w:t>.</w:t>
      </w:r>
      <w:r>
        <w:rPr>
          <w:rFonts w:ascii="Arial" w:hAnsi="Arial" w:cs="Arial"/>
          <w:color w:val="000000"/>
        </w:rPr>
        <w:t xml:space="preserve"> </w:t>
      </w:r>
      <w:r w:rsidR="00EE3021">
        <w:rPr>
          <w:rFonts w:ascii="Arial" w:hAnsi="Arial" w:cs="Arial"/>
          <w:color w:val="000000"/>
        </w:rPr>
        <w:t xml:space="preserve">Eligible patients </w:t>
      </w:r>
      <w:r w:rsidR="00404AF5">
        <w:rPr>
          <w:rFonts w:ascii="Arial" w:hAnsi="Arial" w:cs="Arial"/>
          <w:color w:val="000000"/>
        </w:rPr>
        <w:t xml:space="preserve">are being </w:t>
      </w:r>
      <w:r w:rsidR="00EE3021">
        <w:rPr>
          <w:rFonts w:ascii="Arial" w:hAnsi="Arial" w:cs="Arial"/>
          <w:color w:val="000000"/>
        </w:rPr>
        <w:t>proactively cont</w:t>
      </w:r>
      <w:r w:rsidR="00404AF5">
        <w:rPr>
          <w:rFonts w:ascii="Arial" w:hAnsi="Arial" w:cs="Arial"/>
          <w:color w:val="000000"/>
        </w:rPr>
        <w:t xml:space="preserve">acted by text message </w:t>
      </w:r>
      <w:r w:rsidR="00EE3021">
        <w:rPr>
          <w:rFonts w:ascii="Arial" w:hAnsi="Arial" w:cs="Arial"/>
          <w:color w:val="000000"/>
        </w:rPr>
        <w:t>inviting them to telephone the service to discuss treatment options.</w:t>
      </w:r>
    </w:p>
    <w:p w14:paraId="0084D5F3" w14:textId="77777777" w:rsidR="00C22EB8" w:rsidRDefault="00C22EB8" w:rsidP="00886927">
      <w:pPr>
        <w:jc w:val="both"/>
        <w:rPr>
          <w:rFonts w:ascii="Arial" w:hAnsi="Arial" w:cs="Arial"/>
          <w:color w:val="000000"/>
        </w:rPr>
      </w:pPr>
      <w:r>
        <w:rPr>
          <w:rFonts w:ascii="Arial" w:hAnsi="Arial" w:cs="Arial"/>
          <w:color w:val="000000"/>
        </w:rPr>
        <w:t>Following initial triage and clinical assessment high</w:t>
      </w:r>
      <w:r w:rsidR="00CE094A">
        <w:rPr>
          <w:rFonts w:ascii="Arial" w:hAnsi="Arial" w:cs="Arial"/>
          <w:color w:val="000000"/>
        </w:rPr>
        <w:t>est</w:t>
      </w:r>
      <w:r>
        <w:rPr>
          <w:rFonts w:ascii="Arial" w:hAnsi="Arial" w:cs="Arial"/>
          <w:color w:val="000000"/>
        </w:rPr>
        <w:t xml:space="preserve"> risk eligible patients will receive either intrave</w:t>
      </w:r>
      <w:r w:rsidR="00CE094A">
        <w:rPr>
          <w:rFonts w:ascii="Arial" w:hAnsi="Arial" w:cs="Arial"/>
          <w:color w:val="000000"/>
        </w:rPr>
        <w:t>nous sotrovimab or oral molnupira</w:t>
      </w:r>
      <w:r>
        <w:rPr>
          <w:rFonts w:ascii="Arial" w:hAnsi="Arial" w:cs="Arial"/>
          <w:color w:val="000000"/>
        </w:rPr>
        <w:t xml:space="preserve">vir in line with locally </w:t>
      </w:r>
      <w:r w:rsidRPr="006B48E7">
        <w:rPr>
          <w:rFonts w:ascii="Arial" w:hAnsi="Arial" w:cs="Arial"/>
          <w:color w:val="000000"/>
        </w:rPr>
        <w:t>approved clinical guidance.</w:t>
      </w:r>
      <w:r>
        <w:rPr>
          <w:rFonts w:ascii="Arial" w:hAnsi="Arial" w:cs="Arial"/>
          <w:color w:val="000000"/>
        </w:rPr>
        <w:t xml:space="preserve"> </w:t>
      </w:r>
    </w:p>
    <w:p w14:paraId="607E3CCE" w14:textId="77777777" w:rsidR="00C22EB8" w:rsidRDefault="00C22EB8" w:rsidP="00886927">
      <w:pPr>
        <w:jc w:val="both"/>
        <w:rPr>
          <w:rFonts w:ascii="Arial" w:hAnsi="Arial" w:cs="Arial"/>
          <w:color w:val="000000"/>
        </w:rPr>
      </w:pPr>
      <w:r>
        <w:rPr>
          <w:rFonts w:ascii="Arial" w:hAnsi="Arial" w:cs="Arial"/>
          <w:color w:val="000000"/>
        </w:rPr>
        <w:t xml:space="preserve">Patients eligible for intravenous sotrovimab will receive this treatment via a bespoke local service based on the </w:t>
      </w:r>
      <w:r w:rsidR="000652A3">
        <w:rPr>
          <w:rFonts w:ascii="Arial" w:hAnsi="Arial" w:cs="Arial"/>
          <w:color w:val="000000"/>
        </w:rPr>
        <w:t>Out Patient Antimicrobial Therapy (</w:t>
      </w:r>
      <w:r>
        <w:rPr>
          <w:rFonts w:ascii="Arial" w:hAnsi="Arial" w:cs="Arial"/>
          <w:color w:val="000000"/>
        </w:rPr>
        <w:t>OPAT</w:t>
      </w:r>
      <w:r w:rsidR="000652A3">
        <w:rPr>
          <w:rFonts w:ascii="Arial" w:hAnsi="Arial" w:cs="Arial"/>
          <w:color w:val="000000"/>
        </w:rPr>
        <w:t>)</w:t>
      </w:r>
      <w:r>
        <w:rPr>
          <w:rFonts w:ascii="Arial" w:hAnsi="Arial" w:cs="Arial"/>
          <w:color w:val="000000"/>
        </w:rPr>
        <w:t xml:space="preserve"> model. </w:t>
      </w:r>
      <w:r w:rsidR="000652A3">
        <w:rPr>
          <w:rFonts w:ascii="Arial" w:hAnsi="Arial" w:cs="Arial"/>
          <w:color w:val="000000"/>
        </w:rPr>
        <w:t xml:space="preserve">Initially the </w:t>
      </w:r>
      <w:r w:rsidR="0036528D">
        <w:rPr>
          <w:rFonts w:ascii="Arial" w:hAnsi="Arial" w:cs="Arial"/>
          <w:color w:val="000000"/>
        </w:rPr>
        <w:lastRenderedPageBreak/>
        <w:t xml:space="preserve">intravenous </w:t>
      </w:r>
      <w:r w:rsidR="000652A3">
        <w:rPr>
          <w:rFonts w:ascii="Arial" w:hAnsi="Arial" w:cs="Arial"/>
          <w:color w:val="000000"/>
        </w:rPr>
        <w:t>treatment will be delivered</w:t>
      </w:r>
      <w:r w:rsidR="00E971BA">
        <w:rPr>
          <w:rFonts w:ascii="Arial" w:hAnsi="Arial" w:cs="Arial"/>
          <w:color w:val="000000"/>
        </w:rPr>
        <w:t xml:space="preserve"> </w:t>
      </w:r>
      <w:r w:rsidR="000652A3">
        <w:rPr>
          <w:rFonts w:ascii="Arial" w:hAnsi="Arial" w:cs="Arial"/>
          <w:color w:val="000000"/>
        </w:rPr>
        <w:t>from one site in G</w:t>
      </w:r>
      <w:r w:rsidR="00EE3021">
        <w:rPr>
          <w:rFonts w:ascii="Arial" w:hAnsi="Arial" w:cs="Arial"/>
          <w:color w:val="000000"/>
        </w:rPr>
        <w:t xml:space="preserve">reater Glasgow &amp; </w:t>
      </w:r>
      <w:r w:rsidR="0036528D">
        <w:rPr>
          <w:rFonts w:ascii="Arial" w:hAnsi="Arial" w:cs="Arial"/>
          <w:color w:val="000000"/>
        </w:rPr>
        <w:t>Clyde with</w:t>
      </w:r>
      <w:r w:rsidR="000652A3">
        <w:rPr>
          <w:rFonts w:ascii="Arial" w:hAnsi="Arial" w:cs="Arial"/>
          <w:color w:val="000000"/>
        </w:rPr>
        <w:t xml:space="preserve"> patient transport arranged if required as part of the triage and booking process. </w:t>
      </w:r>
    </w:p>
    <w:p w14:paraId="62ACD77A" w14:textId="77777777" w:rsidR="00C22EB8" w:rsidRDefault="000652A3" w:rsidP="00886927">
      <w:pPr>
        <w:jc w:val="both"/>
        <w:rPr>
          <w:rFonts w:ascii="Arial" w:hAnsi="Arial" w:cs="Arial"/>
        </w:rPr>
      </w:pPr>
      <w:r w:rsidRPr="00FD1218">
        <w:rPr>
          <w:rFonts w:ascii="Arial" w:hAnsi="Arial" w:cs="Arial"/>
          <w:color w:val="000000"/>
        </w:rPr>
        <w:t xml:space="preserve">As part of the service patients deemed </w:t>
      </w:r>
      <w:r w:rsidR="00C22EB8" w:rsidRPr="00FD1218">
        <w:rPr>
          <w:rFonts w:ascii="Arial" w:hAnsi="Arial" w:cs="Arial"/>
          <w:color w:val="000000"/>
        </w:rPr>
        <w:t xml:space="preserve">eligible for oral molnupiravir will </w:t>
      </w:r>
      <w:r w:rsidR="00FD1218">
        <w:rPr>
          <w:rFonts w:ascii="Arial" w:hAnsi="Arial" w:cs="Arial"/>
          <w:color w:val="000000"/>
        </w:rPr>
        <w:t xml:space="preserve">be supplied with this medicine from a </w:t>
      </w:r>
      <w:r w:rsidR="00C22EB8" w:rsidRPr="00FD1218">
        <w:rPr>
          <w:rFonts w:ascii="Arial" w:hAnsi="Arial" w:cs="Arial"/>
          <w:color w:val="000000"/>
        </w:rPr>
        <w:t>local</w:t>
      </w:r>
      <w:r w:rsidR="00CE094A">
        <w:rPr>
          <w:rFonts w:ascii="Arial" w:hAnsi="Arial" w:cs="Arial"/>
          <w:color w:val="000000"/>
        </w:rPr>
        <w:t xml:space="preserve"> community pharmacy</w:t>
      </w:r>
      <w:r w:rsidRPr="00FD1218">
        <w:rPr>
          <w:rFonts w:ascii="Arial" w:hAnsi="Arial" w:cs="Arial"/>
          <w:color w:val="000000"/>
        </w:rPr>
        <w:t xml:space="preserve"> or from one of the </w:t>
      </w:r>
      <w:r w:rsidR="00CE094A">
        <w:rPr>
          <w:rFonts w:ascii="Arial" w:hAnsi="Arial" w:cs="Arial"/>
          <w:color w:val="000000"/>
        </w:rPr>
        <w:t xml:space="preserve">NHS GGC </w:t>
      </w:r>
      <w:r w:rsidRPr="00FD1218">
        <w:rPr>
          <w:rFonts w:ascii="Arial" w:hAnsi="Arial" w:cs="Arial"/>
          <w:color w:val="000000"/>
        </w:rPr>
        <w:t>hospital pharmacies. The medicine will be delivered to the patient’s home.</w:t>
      </w:r>
      <w:r w:rsidR="00FD1218">
        <w:rPr>
          <w:rFonts w:ascii="Arial" w:hAnsi="Arial" w:cs="Arial"/>
          <w:color w:val="000000"/>
        </w:rPr>
        <w:t xml:space="preserve"> </w:t>
      </w:r>
      <w:r w:rsidR="00FD1218" w:rsidRPr="00FD1218">
        <w:rPr>
          <w:rFonts w:ascii="Arial" w:hAnsi="Arial" w:cs="Arial"/>
        </w:rPr>
        <w:t xml:space="preserve">Molnupiravir is </w:t>
      </w:r>
      <w:r w:rsidR="00FD1218" w:rsidRPr="00FD1218">
        <w:rPr>
          <w:rFonts w:ascii="Arial" w:hAnsi="Arial" w:cs="Arial"/>
          <w:b/>
          <w:bCs/>
        </w:rPr>
        <w:t xml:space="preserve">not recommended </w:t>
      </w:r>
      <w:r w:rsidR="00FD1218" w:rsidRPr="00FD1218">
        <w:rPr>
          <w:rFonts w:ascii="Arial" w:hAnsi="Arial" w:cs="Arial"/>
        </w:rPr>
        <w:t xml:space="preserve">during pregnancy. Individuals of childbearing potential </w:t>
      </w:r>
      <w:r w:rsidR="0000251E">
        <w:rPr>
          <w:rFonts w:ascii="Arial" w:hAnsi="Arial" w:cs="Arial"/>
        </w:rPr>
        <w:t>must</w:t>
      </w:r>
      <w:r w:rsidR="0000251E" w:rsidRPr="00FD1218">
        <w:rPr>
          <w:rFonts w:ascii="Arial" w:hAnsi="Arial" w:cs="Arial"/>
        </w:rPr>
        <w:t xml:space="preserve"> </w:t>
      </w:r>
      <w:r w:rsidR="00FD1218" w:rsidRPr="00FD1218">
        <w:rPr>
          <w:rFonts w:ascii="Arial" w:hAnsi="Arial" w:cs="Arial"/>
        </w:rPr>
        <w:t>use effective contraception for the duration of treatment and for 4 days after the last dose of molnupiravir. All healthcare professionals are asked to ensure that any patients who receive a COVID antiviral while pregnant are reported to the UK COVID-19 antivirals in pregnancy registry on 0344 892 0909 so that they can be followed up. For more information go to http://www.uktis.org/. Clinicians are advised to refer to the SmPC for molnupiravir for more information on use during pregnancy or lactation.</w:t>
      </w:r>
      <w:r w:rsidR="00FD1218">
        <w:rPr>
          <w:rFonts w:ascii="Arial" w:hAnsi="Arial" w:cs="Arial"/>
        </w:rPr>
        <w:t xml:space="preserve"> An additional patient information leaflet will be supplied with the molnupiravir </w:t>
      </w:r>
      <w:hyperlink r:id="rId13" w:history="1">
        <w:r w:rsidR="00A17165" w:rsidRPr="002C6ABE">
          <w:rPr>
            <w:rStyle w:val="Hyperlink"/>
            <w:rFonts w:ascii="Arial" w:hAnsi="Arial" w:cs="Arial"/>
          </w:rPr>
          <w:t>https://www.medicines.org.uk/emc/files/pil.13044.pdf</w:t>
        </w:r>
      </w:hyperlink>
    </w:p>
    <w:p w14:paraId="186CC772" w14:textId="77777777" w:rsidR="00154A31" w:rsidRDefault="00154A31" w:rsidP="00886927">
      <w:pPr>
        <w:jc w:val="both"/>
        <w:rPr>
          <w:rFonts w:ascii="Arial" w:hAnsi="Arial" w:cs="Arial"/>
        </w:rPr>
      </w:pPr>
      <w:r w:rsidRPr="00E971BA">
        <w:rPr>
          <w:rFonts w:ascii="Arial" w:hAnsi="Arial" w:cs="Arial"/>
          <w:color w:val="000000"/>
          <w:lang w:eastAsia="en-GB"/>
        </w:rPr>
        <w:t>The patient engagement and outcome will be communicated to the patient’s General Practitioner via letter, this will also include a DNA letter if they are unable to attend for treatment</w:t>
      </w:r>
    </w:p>
    <w:p w14:paraId="465C6EE3" w14:textId="77777777" w:rsidR="00FD1218" w:rsidRPr="00F63CA3" w:rsidRDefault="00FD1218" w:rsidP="00886927">
      <w:pPr>
        <w:jc w:val="both"/>
        <w:rPr>
          <w:rFonts w:ascii="Arial" w:hAnsi="Arial" w:cs="Arial"/>
          <w:u w:val="single"/>
        </w:rPr>
      </w:pPr>
      <w:r w:rsidRPr="00F63CA3">
        <w:rPr>
          <w:rFonts w:ascii="Arial" w:hAnsi="Arial" w:cs="Arial"/>
          <w:u w:val="single"/>
        </w:rPr>
        <w:t>Paediatric/adolescent patients</w:t>
      </w:r>
    </w:p>
    <w:p w14:paraId="5699473C" w14:textId="77777777" w:rsidR="00F63CA3" w:rsidRDefault="00FD1218" w:rsidP="00886927">
      <w:pPr>
        <w:jc w:val="both"/>
        <w:rPr>
          <w:rFonts w:ascii="Arial" w:hAnsi="Arial" w:cs="Arial"/>
          <w:color w:val="000000"/>
          <w:lang w:eastAsia="en-GB"/>
        </w:rPr>
      </w:pPr>
      <w:r w:rsidRPr="00FD1218">
        <w:rPr>
          <w:rFonts w:ascii="Arial" w:hAnsi="Arial" w:cs="Arial"/>
          <w:color w:val="000000"/>
          <w:lang w:eastAsia="en-GB"/>
        </w:rPr>
        <w:t>For paediatric/adolescent patients (aged 12-</w:t>
      </w:r>
      <w:r w:rsidR="00B55CD0" w:rsidRPr="00FD1218">
        <w:rPr>
          <w:rFonts w:ascii="Arial" w:hAnsi="Arial" w:cs="Arial"/>
          <w:color w:val="000000"/>
          <w:lang w:eastAsia="en-GB"/>
        </w:rPr>
        <w:t>1</w:t>
      </w:r>
      <w:r w:rsidR="00B55CD0">
        <w:rPr>
          <w:rFonts w:ascii="Arial" w:hAnsi="Arial" w:cs="Arial"/>
          <w:color w:val="000000"/>
          <w:lang w:eastAsia="en-GB"/>
        </w:rPr>
        <w:t>6</w:t>
      </w:r>
      <w:r w:rsidR="00B55CD0" w:rsidRPr="00FD1218">
        <w:rPr>
          <w:rFonts w:ascii="Arial" w:hAnsi="Arial" w:cs="Arial"/>
          <w:color w:val="000000"/>
          <w:lang w:eastAsia="en-GB"/>
        </w:rPr>
        <w:t xml:space="preserve"> </w:t>
      </w:r>
      <w:r w:rsidRPr="00FD1218">
        <w:rPr>
          <w:rFonts w:ascii="Arial" w:hAnsi="Arial" w:cs="Arial"/>
          <w:color w:val="000000"/>
          <w:lang w:eastAsia="en-GB"/>
        </w:rPr>
        <w:t>years inclusive), paediatric multi-disciplina</w:t>
      </w:r>
      <w:r w:rsidR="00F63CA3">
        <w:rPr>
          <w:rFonts w:ascii="Arial" w:hAnsi="Arial" w:cs="Arial"/>
          <w:color w:val="000000"/>
          <w:lang w:eastAsia="en-GB"/>
        </w:rPr>
        <w:t xml:space="preserve">ry team (MDT) assessment will </w:t>
      </w:r>
      <w:r w:rsidRPr="00FD1218">
        <w:rPr>
          <w:rFonts w:ascii="Arial" w:hAnsi="Arial" w:cs="Arial"/>
          <w:color w:val="000000"/>
          <w:lang w:eastAsia="en-GB"/>
        </w:rPr>
        <w:t>be used to determine clinical capacity to benefit from the treatment</w:t>
      </w:r>
      <w:r w:rsidRPr="00F63CA3">
        <w:rPr>
          <w:rFonts w:ascii="Arial" w:hAnsi="Arial" w:cs="Arial"/>
          <w:color w:val="000000"/>
          <w:lang w:eastAsia="en-GB"/>
        </w:rPr>
        <w:t>.</w:t>
      </w:r>
      <w:r w:rsidRPr="00FD1218">
        <w:rPr>
          <w:rFonts w:ascii="Arial" w:hAnsi="Arial" w:cs="Arial"/>
          <w:color w:val="000000"/>
          <w:lang w:eastAsia="en-GB"/>
        </w:rPr>
        <w:t xml:space="preserve"> </w:t>
      </w:r>
    </w:p>
    <w:p w14:paraId="7624CDF5" w14:textId="77777777" w:rsidR="00FD1218" w:rsidRPr="00F63CA3" w:rsidRDefault="00FD1218" w:rsidP="00886927">
      <w:pPr>
        <w:jc w:val="both"/>
        <w:rPr>
          <w:rFonts w:ascii="Arial" w:hAnsi="Arial" w:cs="Arial"/>
          <w:color w:val="000000"/>
          <w:lang w:eastAsia="en-GB"/>
        </w:rPr>
      </w:pPr>
      <w:r w:rsidRPr="00F63CA3">
        <w:rPr>
          <w:rFonts w:ascii="Arial" w:hAnsi="Arial" w:cs="Arial"/>
          <w:iCs/>
          <w:color w:val="201F1E"/>
          <w:shd w:val="clear" w:color="auto" w:fill="FFFFFF"/>
        </w:rPr>
        <w:t>COVID 19 is much less likely to progress to s</w:t>
      </w:r>
      <w:r w:rsidR="00F63CA3">
        <w:rPr>
          <w:rFonts w:ascii="Arial" w:hAnsi="Arial" w:cs="Arial"/>
          <w:iCs/>
          <w:color w:val="201F1E"/>
          <w:shd w:val="clear" w:color="auto" w:fill="FFFFFF"/>
        </w:rPr>
        <w:t xml:space="preserve">evere disease in this </w:t>
      </w:r>
      <w:r w:rsidRPr="00F63CA3">
        <w:rPr>
          <w:rFonts w:ascii="Arial" w:hAnsi="Arial" w:cs="Arial"/>
          <w:iCs/>
          <w:color w:val="201F1E"/>
          <w:shd w:val="clear" w:color="auto" w:fill="FFFFFF"/>
        </w:rPr>
        <w:t>age group even in those who might be viewed as at increased risk. Molnupiravir is not licensed in this age group and only those assessed as at exceptionally high risk will be of</w:t>
      </w:r>
      <w:r w:rsidR="00F63CA3">
        <w:rPr>
          <w:rFonts w:ascii="Arial" w:hAnsi="Arial" w:cs="Arial"/>
          <w:iCs/>
          <w:color w:val="201F1E"/>
          <w:shd w:val="clear" w:color="auto" w:fill="FFFFFF"/>
        </w:rPr>
        <w:t>fered intravenous s</w:t>
      </w:r>
      <w:r w:rsidR="00F63CA3" w:rsidRPr="00F63CA3">
        <w:rPr>
          <w:rFonts w:ascii="Arial" w:hAnsi="Arial" w:cs="Arial"/>
          <w:iCs/>
          <w:color w:val="201F1E"/>
          <w:shd w:val="clear" w:color="auto" w:fill="FFFFFF"/>
        </w:rPr>
        <w:t>otrovimab.</w:t>
      </w:r>
    </w:p>
    <w:p w14:paraId="313238DC" w14:textId="77777777" w:rsidR="00FD1218" w:rsidRPr="00CE094A" w:rsidRDefault="00F63CA3" w:rsidP="00FD1218">
      <w:pPr>
        <w:rPr>
          <w:rFonts w:ascii="Arial" w:hAnsi="Arial" w:cs="Arial"/>
          <w:color w:val="000000"/>
          <w:u w:val="single"/>
        </w:rPr>
      </w:pPr>
      <w:r w:rsidRPr="00CE094A">
        <w:rPr>
          <w:rFonts w:ascii="Arial" w:hAnsi="Arial" w:cs="Arial"/>
          <w:color w:val="000000"/>
          <w:u w:val="single"/>
        </w:rPr>
        <w:t>Patient deemed ineligible for nMAB or oral antivirals</w:t>
      </w:r>
    </w:p>
    <w:p w14:paraId="19E789D9" w14:textId="77777777" w:rsidR="00CE094A" w:rsidRDefault="00F63CA3" w:rsidP="00886927">
      <w:pPr>
        <w:jc w:val="both"/>
        <w:rPr>
          <w:rFonts w:ascii="Arial" w:hAnsi="Arial" w:cs="Arial"/>
          <w:color w:val="000000"/>
          <w:lang w:eastAsia="en-GB"/>
        </w:rPr>
      </w:pPr>
      <w:r>
        <w:rPr>
          <w:rFonts w:ascii="Arial" w:hAnsi="Arial" w:cs="Arial"/>
          <w:color w:val="000000"/>
          <w:lang w:eastAsia="en-GB"/>
        </w:rPr>
        <w:lastRenderedPageBreak/>
        <w:t xml:space="preserve">If following triage and clinical </w:t>
      </w:r>
      <w:r w:rsidR="00782CC8">
        <w:rPr>
          <w:rFonts w:ascii="Arial" w:hAnsi="Arial" w:cs="Arial"/>
          <w:color w:val="000000"/>
          <w:lang w:eastAsia="en-GB"/>
        </w:rPr>
        <w:t>assessment</w:t>
      </w:r>
      <w:r>
        <w:rPr>
          <w:rFonts w:ascii="Arial" w:hAnsi="Arial" w:cs="Arial"/>
          <w:color w:val="000000"/>
          <w:lang w:eastAsia="en-GB"/>
        </w:rPr>
        <w:t xml:space="preserve"> th</w:t>
      </w:r>
      <w:r w:rsidR="00782CC8">
        <w:rPr>
          <w:rFonts w:ascii="Arial" w:hAnsi="Arial" w:cs="Arial"/>
          <w:color w:val="000000"/>
          <w:lang w:eastAsia="en-GB"/>
        </w:rPr>
        <w:t xml:space="preserve">e patient is not identified as </w:t>
      </w:r>
      <w:r w:rsidR="007916D3">
        <w:rPr>
          <w:rFonts w:ascii="Arial" w:hAnsi="Arial" w:cs="Arial"/>
          <w:color w:val="000000"/>
          <w:lang w:eastAsia="en-GB"/>
        </w:rPr>
        <w:t xml:space="preserve">being in the one of </w:t>
      </w:r>
      <w:r>
        <w:rPr>
          <w:rFonts w:ascii="Arial" w:hAnsi="Arial" w:cs="Arial"/>
          <w:color w:val="000000"/>
          <w:lang w:eastAsia="en-GB"/>
        </w:rPr>
        <w:t xml:space="preserve">the highest risk patient groups and is </w:t>
      </w:r>
      <w:r w:rsidR="007916D3">
        <w:rPr>
          <w:rFonts w:ascii="Arial" w:hAnsi="Arial" w:cs="Arial"/>
          <w:color w:val="000000"/>
          <w:lang w:eastAsia="en-GB"/>
        </w:rPr>
        <w:t xml:space="preserve">therefore </w:t>
      </w:r>
      <w:r>
        <w:rPr>
          <w:rFonts w:ascii="Arial" w:hAnsi="Arial" w:cs="Arial"/>
          <w:color w:val="000000"/>
          <w:lang w:eastAsia="en-GB"/>
        </w:rPr>
        <w:t xml:space="preserve">not considered eligible for treatment </w:t>
      </w:r>
      <w:r w:rsidR="00CE094A">
        <w:rPr>
          <w:rFonts w:ascii="Arial" w:hAnsi="Arial" w:cs="Arial"/>
          <w:color w:val="000000"/>
          <w:lang w:eastAsia="en-GB"/>
        </w:rPr>
        <w:t xml:space="preserve">via the direct access route </w:t>
      </w:r>
      <w:r w:rsidR="00782CC8">
        <w:rPr>
          <w:rFonts w:ascii="Arial" w:hAnsi="Arial" w:cs="Arial"/>
          <w:color w:val="000000"/>
          <w:lang w:eastAsia="en-GB"/>
        </w:rPr>
        <w:t xml:space="preserve">they will be advised to </w:t>
      </w:r>
      <w:r w:rsidR="00CE094A">
        <w:rPr>
          <w:rFonts w:ascii="Arial" w:hAnsi="Arial" w:cs="Arial"/>
          <w:color w:val="000000"/>
          <w:lang w:eastAsia="en-GB"/>
        </w:rPr>
        <w:t>continue to isolate as advised.</w:t>
      </w:r>
    </w:p>
    <w:p w14:paraId="7120A27D" w14:textId="77777777" w:rsidR="00574252" w:rsidRDefault="00CE094A" w:rsidP="00886927">
      <w:pPr>
        <w:jc w:val="both"/>
        <w:rPr>
          <w:rFonts w:ascii="Arial" w:hAnsi="Arial" w:cs="Arial"/>
          <w:color w:val="000000"/>
          <w:lang w:eastAsia="en-GB"/>
        </w:rPr>
      </w:pPr>
      <w:r>
        <w:rPr>
          <w:rFonts w:ascii="Arial" w:hAnsi="Arial" w:cs="Arial"/>
          <w:color w:val="000000"/>
          <w:lang w:eastAsia="en-GB"/>
        </w:rPr>
        <w:t xml:space="preserve">They will also be advised that they may be </w:t>
      </w:r>
      <w:r w:rsidR="00F63CA3" w:rsidRPr="00F63CA3">
        <w:rPr>
          <w:rFonts w:ascii="Arial" w:hAnsi="Arial" w:cs="Arial"/>
          <w:color w:val="000000"/>
          <w:lang w:eastAsia="en-GB"/>
        </w:rPr>
        <w:t xml:space="preserve">eligible to take part in the PANORAMIC clinical trial and </w:t>
      </w:r>
      <w:r>
        <w:rPr>
          <w:rFonts w:ascii="Arial" w:hAnsi="Arial" w:cs="Arial"/>
          <w:color w:val="000000"/>
          <w:lang w:eastAsia="en-GB"/>
        </w:rPr>
        <w:t xml:space="preserve">given </w:t>
      </w:r>
      <w:r w:rsidR="00F63CA3" w:rsidRPr="00F63CA3">
        <w:rPr>
          <w:rFonts w:ascii="Arial" w:hAnsi="Arial" w:cs="Arial"/>
          <w:color w:val="000000"/>
          <w:lang w:eastAsia="en-GB"/>
        </w:rPr>
        <w:t>details about how to access this</w:t>
      </w:r>
      <w:r>
        <w:rPr>
          <w:rFonts w:ascii="Arial" w:hAnsi="Arial" w:cs="Arial"/>
          <w:color w:val="000000"/>
          <w:lang w:eastAsia="en-GB"/>
        </w:rPr>
        <w:t xml:space="preserve"> t</w:t>
      </w:r>
      <w:r w:rsidR="004D0383">
        <w:rPr>
          <w:rFonts w:ascii="Arial" w:hAnsi="Arial" w:cs="Arial"/>
          <w:color w:val="000000"/>
          <w:lang w:eastAsia="en-GB"/>
        </w:rPr>
        <w:t>rial.</w:t>
      </w:r>
      <w:r>
        <w:rPr>
          <w:rFonts w:ascii="Arial" w:hAnsi="Arial" w:cs="Arial"/>
          <w:color w:val="000000"/>
          <w:lang w:eastAsia="en-GB"/>
        </w:rPr>
        <w:t xml:space="preserve"> </w:t>
      </w:r>
      <w:hyperlink r:id="rId14" w:history="1">
        <w:r w:rsidR="00574252" w:rsidRPr="00702745">
          <w:rPr>
            <w:rStyle w:val="Hyperlink"/>
            <w:rFonts w:ascii="Arial" w:hAnsi="Arial" w:cs="Arial"/>
            <w:lang w:eastAsia="en-GB"/>
          </w:rPr>
          <w:t>https://www.nhsinform.scot/illnesses-and-conditions/infections-and-poisoning/coronavirus-covid-19/coronavirus-covid-19-treatments</w:t>
        </w:r>
      </w:hyperlink>
    </w:p>
    <w:p w14:paraId="5A96BFDB" w14:textId="77777777" w:rsidR="00F63CA3" w:rsidRDefault="00CE094A" w:rsidP="00886927">
      <w:pPr>
        <w:jc w:val="both"/>
        <w:rPr>
          <w:rFonts w:ascii="Arial" w:hAnsi="Arial" w:cs="Arial"/>
          <w:color w:val="000000"/>
          <w:lang w:eastAsia="en-GB"/>
        </w:rPr>
      </w:pPr>
      <w:r>
        <w:rPr>
          <w:rFonts w:ascii="Arial" w:hAnsi="Arial" w:cs="Arial"/>
          <w:color w:val="000000"/>
          <w:lang w:eastAsia="en-GB"/>
        </w:rPr>
        <w:t xml:space="preserve">If their condition deteriorates they will be advised to phone their </w:t>
      </w:r>
      <w:r w:rsidR="00F63CA3" w:rsidRPr="00F63CA3">
        <w:rPr>
          <w:rFonts w:ascii="Arial" w:hAnsi="Arial" w:cs="Arial"/>
          <w:color w:val="000000"/>
          <w:lang w:eastAsia="en-GB"/>
        </w:rPr>
        <w:t>GP practice in hours, or NHS24 on 111 in the out of hours period.</w:t>
      </w:r>
    </w:p>
    <w:p w14:paraId="6BD07B91" w14:textId="77777777" w:rsidR="0000251E" w:rsidRPr="0000251E" w:rsidRDefault="0000251E" w:rsidP="0000251E">
      <w:pPr>
        <w:pStyle w:val="Default"/>
        <w:rPr>
          <w:rFonts w:ascii="Calibri Light" w:hAnsi="Calibri Light" w:cs="Calibri Light"/>
          <w:sz w:val="22"/>
          <w:szCs w:val="22"/>
          <w:u w:val="single"/>
        </w:rPr>
      </w:pPr>
      <w:r>
        <w:br w:type="page"/>
      </w:r>
      <w:r w:rsidR="006570C6">
        <w:rPr>
          <w:rFonts w:ascii="Calibri Light" w:hAnsi="Calibri Light" w:cs="Calibri Light"/>
          <w:b/>
          <w:bCs/>
          <w:sz w:val="22"/>
          <w:szCs w:val="22"/>
          <w:u w:val="single"/>
        </w:rPr>
        <w:lastRenderedPageBreak/>
        <w:t>Appendix 2</w:t>
      </w:r>
      <w:r w:rsidRPr="0000251E">
        <w:rPr>
          <w:rFonts w:ascii="Calibri Light" w:hAnsi="Calibri Light" w:cs="Calibri Light"/>
          <w:b/>
          <w:bCs/>
          <w:sz w:val="22"/>
          <w:szCs w:val="22"/>
          <w:u w:val="single"/>
        </w:rPr>
        <w:t xml:space="preserve">: Patient cohorts considered at highest risk from COVID-19 and to be prioritised for treatment with nMABs </w:t>
      </w:r>
      <w:r>
        <w:rPr>
          <w:rFonts w:ascii="Calibri Light" w:hAnsi="Calibri Light" w:cs="Calibri Light"/>
          <w:b/>
          <w:bCs/>
          <w:sz w:val="22"/>
          <w:szCs w:val="22"/>
          <w:u w:val="single"/>
        </w:rPr>
        <w:t>and oral AV</w:t>
      </w:r>
    </w:p>
    <w:p w14:paraId="62486C05" w14:textId="77777777" w:rsidR="0000251E" w:rsidRPr="0000251E" w:rsidRDefault="0000251E" w:rsidP="0000251E">
      <w:pPr>
        <w:jc w:val="both"/>
        <w:rPr>
          <w:rFonts w:ascii="Calibri Light" w:hAnsi="Calibri Light" w:cs="Calibri Light"/>
        </w:rPr>
      </w:pPr>
    </w:p>
    <w:p w14:paraId="46AB413D" w14:textId="77777777" w:rsidR="0000251E" w:rsidRPr="0000251E" w:rsidRDefault="0000251E" w:rsidP="0000251E">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The following patient cohorts were determined by an independent advisory group commissioned by the Department of Health and Social Care (DHSC).</w:t>
      </w:r>
    </w:p>
    <w:p w14:paraId="4101652C" w14:textId="77777777" w:rsidR="0000251E" w:rsidRPr="00AE5289" w:rsidRDefault="0000251E" w:rsidP="0000251E">
      <w:pPr>
        <w:autoSpaceDE w:val="0"/>
        <w:autoSpaceDN w:val="0"/>
        <w:adjustRightInd w:val="0"/>
        <w:rPr>
          <w:rFonts w:cs="Calibri"/>
          <w:color w:val="000000"/>
          <w:lang w:eastAsia="en-GB"/>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460"/>
        <w:gridCol w:w="4536"/>
      </w:tblGrid>
      <w:tr w:rsidR="0000251E" w:rsidRPr="00C11955" w14:paraId="002BFFA1" w14:textId="77777777" w:rsidTr="009247EB">
        <w:tc>
          <w:tcPr>
            <w:tcW w:w="4621" w:type="dxa"/>
            <w:shd w:val="clear" w:color="auto" w:fill="auto"/>
          </w:tcPr>
          <w:p w14:paraId="58960F46" w14:textId="77777777" w:rsidR="0000251E" w:rsidRPr="0000251E" w:rsidRDefault="0000251E" w:rsidP="009247EB">
            <w:pPr>
              <w:autoSpaceDE w:val="0"/>
              <w:autoSpaceDN w:val="0"/>
              <w:adjustRightInd w:val="0"/>
              <w:rPr>
                <w:rFonts w:ascii="Calibri Light" w:hAnsi="Calibri Light" w:cs="Calibri Light"/>
                <w:b/>
                <w:color w:val="000000"/>
                <w:u w:val="single"/>
                <w:lang w:eastAsia="en-GB"/>
              </w:rPr>
            </w:pPr>
            <w:r w:rsidRPr="0000251E">
              <w:rPr>
                <w:rFonts w:ascii="Calibri Light" w:hAnsi="Calibri Light" w:cs="Calibri Light"/>
                <w:b/>
                <w:color w:val="000000"/>
                <w:u w:val="single"/>
                <w:lang w:eastAsia="en-GB"/>
              </w:rPr>
              <w:t>Cohort</w:t>
            </w:r>
          </w:p>
        </w:tc>
        <w:tc>
          <w:tcPr>
            <w:tcW w:w="4621" w:type="dxa"/>
            <w:shd w:val="clear" w:color="auto" w:fill="auto"/>
          </w:tcPr>
          <w:p w14:paraId="31FF54C8" w14:textId="77777777" w:rsidR="0000251E" w:rsidRPr="0000251E" w:rsidRDefault="0000251E" w:rsidP="009247EB">
            <w:pPr>
              <w:autoSpaceDE w:val="0"/>
              <w:autoSpaceDN w:val="0"/>
              <w:adjustRightInd w:val="0"/>
              <w:rPr>
                <w:rFonts w:ascii="Calibri Light" w:hAnsi="Calibri Light" w:cs="Calibri Light"/>
                <w:b/>
                <w:color w:val="000000"/>
                <w:u w:val="single"/>
                <w:lang w:eastAsia="en-GB"/>
              </w:rPr>
            </w:pPr>
            <w:r w:rsidRPr="0000251E">
              <w:rPr>
                <w:rFonts w:ascii="Calibri Light" w:hAnsi="Calibri Light" w:cs="Calibri Light"/>
                <w:b/>
                <w:color w:val="000000"/>
                <w:u w:val="single"/>
                <w:lang w:eastAsia="en-GB"/>
              </w:rPr>
              <w:t>Description</w:t>
            </w:r>
          </w:p>
        </w:tc>
      </w:tr>
      <w:tr w:rsidR="0000251E" w:rsidRPr="00C11955" w14:paraId="55BCB035" w14:textId="77777777" w:rsidTr="009247EB">
        <w:tc>
          <w:tcPr>
            <w:tcW w:w="4621" w:type="dxa"/>
            <w:shd w:val="clear" w:color="auto" w:fill="auto"/>
          </w:tcPr>
          <w:p w14:paraId="26CC96AB" w14:textId="77777777" w:rsidR="0000251E" w:rsidRPr="0000251E" w:rsidRDefault="0000251E" w:rsidP="009247EB">
            <w:pPr>
              <w:autoSpaceDE w:val="0"/>
              <w:autoSpaceDN w:val="0"/>
              <w:adjustRightInd w:val="0"/>
              <w:rPr>
                <w:rFonts w:ascii="Calibri Light" w:hAnsi="Calibri Light" w:cs="Calibri Light"/>
                <w:color w:val="000000"/>
                <w:u w:val="single"/>
                <w:lang w:eastAsia="en-GB"/>
              </w:rPr>
            </w:pPr>
            <w:r w:rsidRPr="0000251E">
              <w:rPr>
                <w:rFonts w:ascii="Calibri Light" w:hAnsi="Calibri Light" w:cs="Calibri Light"/>
              </w:rPr>
              <w:t xml:space="preserve">Down’s syndrome </w:t>
            </w:r>
          </w:p>
        </w:tc>
        <w:tc>
          <w:tcPr>
            <w:tcW w:w="4621" w:type="dxa"/>
            <w:shd w:val="clear" w:color="auto" w:fill="auto"/>
          </w:tcPr>
          <w:p w14:paraId="2CD103B3" w14:textId="77777777" w:rsidR="0000251E" w:rsidRPr="0000251E" w:rsidRDefault="0000251E" w:rsidP="009247EB">
            <w:pPr>
              <w:autoSpaceDE w:val="0"/>
              <w:autoSpaceDN w:val="0"/>
              <w:adjustRightInd w:val="0"/>
              <w:rPr>
                <w:rFonts w:ascii="Calibri Light" w:hAnsi="Calibri Light" w:cs="Calibri Light"/>
                <w:color w:val="000000"/>
                <w:u w:val="single"/>
                <w:lang w:eastAsia="en-GB"/>
              </w:rPr>
            </w:pPr>
            <w:r w:rsidRPr="0000251E">
              <w:rPr>
                <w:rFonts w:ascii="Calibri Light" w:hAnsi="Calibri Light" w:cs="Calibri Light"/>
              </w:rPr>
              <w:t>All patients with Down’s syndrome</w:t>
            </w:r>
          </w:p>
        </w:tc>
      </w:tr>
      <w:tr w:rsidR="0000251E" w:rsidRPr="00C11955" w14:paraId="5B2EE7D7" w14:textId="77777777" w:rsidTr="009247EB">
        <w:tc>
          <w:tcPr>
            <w:tcW w:w="4621" w:type="dxa"/>
            <w:shd w:val="clear" w:color="auto" w:fill="auto"/>
          </w:tcPr>
          <w:p w14:paraId="2C302B86" w14:textId="77777777" w:rsidR="0000251E" w:rsidRPr="0000251E" w:rsidRDefault="0000251E" w:rsidP="009247EB">
            <w:pPr>
              <w:pStyle w:val="Default"/>
              <w:rPr>
                <w:rFonts w:ascii="Calibri Light" w:hAnsi="Calibri Light" w:cs="Calibri Light"/>
                <w:color w:val="auto"/>
                <w:sz w:val="22"/>
                <w:szCs w:val="22"/>
              </w:rPr>
            </w:pPr>
            <w:r w:rsidRPr="0000251E">
              <w:rPr>
                <w:rFonts w:ascii="Calibri Light" w:hAnsi="Calibri Light" w:cs="Calibri Light"/>
                <w:color w:val="auto"/>
                <w:sz w:val="22"/>
                <w:szCs w:val="22"/>
              </w:rPr>
              <w:t xml:space="preserve">Sickle cell disease </w:t>
            </w:r>
          </w:p>
        </w:tc>
        <w:tc>
          <w:tcPr>
            <w:tcW w:w="4621" w:type="dxa"/>
            <w:shd w:val="clear" w:color="auto" w:fill="auto"/>
          </w:tcPr>
          <w:p w14:paraId="2E410C9E" w14:textId="77777777" w:rsidR="0000251E" w:rsidRPr="0000251E" w:rsidRDefault="0000251E" w:rsidP="009247EB">
            <w:pPr>
              <w:pStyle w:val="Default"/>
              <w:rPr>
                <w:rFonts w:ascii="Calibri Light" w:hAnsi="Calibri Light" w:cs="Calibri Light"/>
                <w:color w:val="auto"/>
                <w:sz w:val="22"/>
                <w:szCs w:val="22"/>
              </w:rPr>
            </w:pPr>
            <w:r w:rsidRPr="0000251E">
              <w:rPr>
                <w:rFonts w:ascii="Calibri Light" w:hAnsi="Calibri Light" w:cs="Calibri Light"/>
                <w:color w:val="auto"/>
                <w:sz w:val="22"/>
                <w:szCs w:val="22"/>
              </w:rPr>
              <w:t xml:space="preserve">All patients with a diagnosis of sickle cell disease </w:t>
            </w:r>
          </w:p>
        </w:tc>
      </w:tr>
      <w:tr w:rsidR="0000251E" w:rsidRPr="00C11955" w14:paraId="0E12C348" w14:textId="77777777" w:rsidTr="009247EB">
        <w:tc>
          <w:tcPr>
            <w:tcW w:w="4621" w:type="dxa"/>
            <w:shd w:val="clear" w:color="auto" w:fill="auto"/>
          </w:tcPr>
          <w:p w14:paraId="6F86F055" w14:textId="77777777" w:rsidR="0000251E" w:rsidRPr="0000251E" w:rsidRDefault="0000251E" w:rsidP="009247EB">
            <w:pPr>
              <w:pStyle w:val="Default"/>
              <w:rPr>
                <w:rFonts w:ascii="Calibri Light" w:hAnsi="Calibri Light" w:cs="Calibri Light"/>
                <w:color w:val="auto"/>
                <w:sz w:val="22"/>
                <w:szCs w:val="22"/>
              </w:rPr>
            </w:pPr>
            <w:r w:rsidRPr="0000251E">
              <w:rPr>
                <w:rFonts w:ascii="Calibri Light" w:hAnsi="Calibri Light" w:cs="Calibri Light"/>
                <w:color w:val="auto"/>
                <w:sz w:val="22"/>
                <w:szCs w:val="22"/>
              </w:rPr>
              <w:t xml:space="preserve">Patients with a solid cancer </w:t>
            </w:r>
          </w:p>
        </w:tc>
        <w:tc>
          <w:tcPr>
            <w:tcW w:w="4621" w:type="dxa"/>
            <w:shd w:val="clear" w:color="auto" w:fill="auto"/>
          </w:tcPr>
          <w:p w14:paraId="3B95DD87" w14:textId="77777777" w:rsidR="0000251E" w:rsidRPr="0000251E" w:rsidRDefault="0000251E" w:rsidP="0000251E">
            <w:pPr>
              <w:pStyle w:val="Default"/>
              <w:numPr>
                <w:ilvl w:val="0"/>
                <w:numId w:val="6"/>
              </w:numPr>
              <w:rPr>
                <w:rFonts w:ascii="Calibri Light" w:hAnsi="Calibri Light" w:cs="Calibri Light"/>
                <w:color w:val="auto"/>
                <w:sz w:val="22"/>
                <w:szCs w:val="22"/>
              </w:rPr>
            </w:pPr>
            <w:r w:rsidRPr="0000251E">
              <w:rPr>
                <w:rFonts w:ascii="Calibri Light" w:hAnsi="Calibri Light" w:cs="Calibri Light"/>
                <w:color w:val="auto"/>
                <w:sz w:val="22"/>
                <w:szCs w:val="22"/>
              </w:rPr>
              <w:t>Active metastatic cancer and active solid cancers (at any stage)</w:t>
            </w:r>
          </w:p>
          <w:p w14:paraId="0C10D7DE" w14:textId="77777777" w:rsidR="0000251E" w:rsidRPr="0000251E" w:rsidRDefault="0000251E" w:rsidP="0000251E">
            <w:pPr>
              <w:pStyle w:val="Default"/>
              <w:numPr>
                <w:ilvl w:val="0"/>
                <w:numId w:val="6"/>
              </w:numPr>
              <w:rPr>
                <w:rFonts w:ascii="Calibri Light" w:hAnsi="Calibri Light" w:cs="Calibri Light"/>
                <w:color w:val="auto"/>
                <w:sz w:val="22"/>
                <w:szCs w:val="22"/>
              </w:rPr>
            </w:pPr>
            <w:r w:rsidRPr="0000251E">
              <w:rPr>
                <w:rFonts w:ascii="Calibri Light" w:hAnsi="Calibri Light" w:cs="Calibri Light"/>
                <w:color w:val="auto"/>
                <w:sz w:val="22"/>
                <w:szCs w:val="22"/>
              </w:rPr>
              <w:t>All patients receiving chemotherapy within the last 3 months</w:t>
            </w:r>
          </w:p>
          <w:p w14:paraId="301C17CB" w14:textId="77777777" w:rsidR="0000251E" w:rsidRPr="0000251E" w:rsidRDefault="0000251E" w:rsidP="0000251E">
            <w:pPr>
              <w:pStyle w:val="Default"/>
              <w:numPr>
                <w:ilvl w:val="0"/>
                <w:numId w:val="6"/>
              </w:numPr>
              <w:rPr>
                <w:rFonts w:ascii="Calibri Light" w:hAnsi="Calibri Light" w:cs="Calibri Light"/>
                <w:color w:val="auto"/>
                <w:sz w:val="22"/>
                <w:szCs w:val="22"/>
              </w:rPr>
            </w:pPr>
            <w:r w:rsidRPr="0000251E">
              <w:rPr>
                <w:rFonts w:ascii="Calibri Light" w:hAnsi="Calibri Light" w:cs="Calibri Light"/>
                <w:color w:val="auto"/>
                <w:sz w:val="22"/>
                <w:szCs w:val="22"/>
              </w:rPr>
              <w:t>Patients receiving group B or C chemotherapy 3-12 months prior</w:t>
            </w:r>
          </w:p>
          <w:p w14:paraId="61C3E4B1" w14:textId="77777777" w:rsidR="0000251E" w:rsidRPr="0000251E" w:rsidRDefault="0000251E" w:rsidP="0000251E">
            <w:pPr>
              <w:pStyle w:val="Default"/>
              <w:numPr>
                <w:ilvl w:val="0"/>
                <w:numId w:val="6"/>
              </w:numPr>
              <w:rPr>
                <w:rFonts w:ascii="Calibri Light" w:hAnsi="Calibri Light" w:cs="Calibri Light"/>
                <w:color w:val="auto"/>
                <w:sz w:val="22"/>
                <w:szCs w:val="22"/>
              </w:rPr>
            </w:pPr>
            <w:r w:rsidRPr="0000251E">
              <w:rPr>
                <w:rFonts w:ascii="Calibri Light" w:hAnsi="Calibri Light" w:cs="Calibri Light"/>
                <w:color w:val="auto"/>
                <w:sz w:val="22"/>
                <w:szCs w:val="22"/>
              </w:rPr>
              <w:t>Patients receiving radiotherapy within the last 6 months</w:t>
            </w:r>
          </w:p>
        </w:tc>
      </w:tr>
      <w:tr w:rsidR="0000251E" w:rsidRPr="00C11955" w14:paraId="6F0D2C7E" w14:textId="77777777" w:rsidTr="009247EB">
        <w:tc>
          <w:tcPr>
            <w:tcW w:w="4621" w:type="dxa"/>
            <w:shd w:val="clear" w:color="auto" w:fill="auto"/>
          </w:tcPr>
          <w:p w14:paraId="66B3F2A2" w14:textId="77777777" w:rsidR="0000251E" w:rsidRPr="0000251E" w:rsidRDefault="0000251E" w:rsidP="009247EB">
            <w:pPr>
              <w:autoSpaceDE w:val="0"/>
              <w:autoSpaceDN w:val="0"/>
              <w:adjustRightInd w:val="0"/>
              <w:rPr>
                <w:rFonts w:ascii="Calibri Light" w:hAnsi="Calibri Light" w:cs="Calibri Light"/>
                <w:color w:val="000000"/>
                <w:u w:val="single"/>
                <w:lang w:eastAsia="en-GB"/>
              </w:rPr>
            </w:pPr>
            <w:r w:rsidRPr="0000251E">
              <w:rPr>
                <w:rFonts w:ascii="Calibri Light" w:hAnsi="Calibri Light" w:cs="Calibri Light"/>
                <w:color w:val="000000"/>
                <w:u w:val="single"/>
                <w:lang w:eastAsia="en-GB"/>
              </w:rPr>
              <w:t>Patients with a haematologic malignancy</w:t>
            </w:r>
          </w:p>
        </w:tc>
        <w:tc>
          <w:tcPr>
            <w:tcW w:w="4621" w:type="dxa"/>
            <w:shd w:val="clear" w:color="auto" w:fill="auto"/>
          </w:tcPr>
          <w:p w14:paraId="6DD7F319"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Allogeneic haematopoietic stem cell transplant (HSCT) recipients in the last 12 months or active graft vs host disease (GVHD) regardless of time from transplant</w:t>
            </w:r>
          </w:p>
          <w:p w14:paraId="4D5593E7"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Autologous HSCT recipients in the last 12 months</w:t>
            </w:r>
          </w:p>
          <w:p w14:paraId="65617211"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Individuals with haematological malignancies who have</w:t>
            </w:r>
          </w:p>
          <w:p w14:paraId="11881972" w14:textId="77777777" w:rsidR="0000251E" w:rsidRPr="0000251E" w:rsidRDefault="0000251E" w:rsidP="0000251E">
            <w:pPr>
              <w:numPr>
                <w:ilvl w:val="1"/>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received chimaeric antigen receptor (CAR)-T cell therapy in the last 24 months or</w:t>
            </w:r>
          </w:p>
          <w:p w14:paraId="6F69135D" w14:textId="77777777" w:rsidR="0000251E" w:rsidRPr="0000251E" w:rsidRDefault="0000251E" w:rsidP="0000251E">
            <w:pPr>
              <w:numPr>
                <w:ilvl w:val="1"/>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anti-CD20 monoclonal antibody therapy in the last 12 months</w:t>
            </w:r>
          </w:p>
          <w:p w14:paraId="6E7B2CAE"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lastRenderedPageBreak/>
              <w:t>Individuals with chronic B-cell lymphoproliferative disorders receiving systemic treatment or radiotherapy within the last 3 months</w:t>
            </w:r>
          </w:p>
          <w:p w14:paraId="5B1054F1"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Individuals with chronic B-cell lymphoproliferative disorders with hypogammaglobulinaemia or reduced peripheral B cell counts</w:t>
            </w:r>
          </w:p>
          <w:p w14:paraId="0C60F516"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Individuals with acute leukaemias and clinically aggressive lymphomas who are receiving chemotherapy or within 3 months of completion at the time of vaccination</w:t>
            </w:r>
          </w:p>
          <w:p w14:paraId="47D716F5"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Individuals with haematological malignancies who have received anti-CD38 monoclonal antibody or B cell maturation agent (BCMA) targeted therapy in the last 6 months</w:t>
            </w:r>
          </w:p>
          <w:p w14:paraId="19D5DCA8" w14:textId="77777777" w:rsidR="0000251E" w:rsidRPr="0000251E" w:rsidRDefault="0000251E" w:rsidP="0000251E">
            <w:pPr>
              <w:numPr>
                <w:ilvl w:val="0"/>
                <w:numId w:val="7"/>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Individuals with chronic B-cell lymphoproliferative disorders not otherwise described above</w:t>
            </w:r>
          </w:p>
          <w:p w14:paraId="4B99056E" w14:textId="77777777" w:rsidR="0000251E" w:rsidRPr="0000251E" w:rsidRDefault="0000251E" w:rsidP="009247EB">
            <w:pPr>
              <w:autoSpaceDE w:val="0"/>
              <w:autoSpaceDN w:val="0"/>
              <w:adjustRightInd w:val="0"/>
              <w:rPr>
                <w:rFonts w:ascii="Calibri Light" w:hAnsi="Calibri Light" w:cs="Calibri Light"/>
                <w:color w:val="000000"/>
                <w:lang w:eastAsia="en-GB"/>
              </w:rPr>
            </w:pPr>
          </w:p>
        </w:tc>
      </w:tr>
      <w:tr w:rsidR="0000251E" w:rsidRPr="00C11955" w14:paraId="22C43536" w14:textId="77777777" w:rsidTr="009247EB">
        <w:tc>
          <w:tcPr>
            <w:tcW w:w="4621" w:type="dxa"/>
            <w:shd w:val="clear" w:color="auto" w:fill="auto"/>
          </w:tcPr>
          <w:p w14:paraId="11048B0B"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lastRenderedPageBreak/>
              <w:t>Patients with renal disease</w:t>
            </w:r>
          </w:p>
        </w:tc>
        <w:tc>
          <w:tcPr>
            <w:tcW w:w="4621" w:type="dxa"/>
            <w:shd w:val="clear" w:color="auto" w:fill="auto"/>
          </w:tcPr>
          <w:p w14:paraId="7EB5DDAB" w14:textId="77777777" w:rsidR="0000251E" w:rsidRPr="0000251E" w:rsidRDefault="0000251E" w:rsidP="0000251E">
            <w:pPr>
              <w:numPr>
                <w:ilvl w:val="0"/>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Renal transplant recipients (including those with failed transplants within the past 12 months), particularly those who:</w:t>
            </w:r>
          </w:p>
          <w:p w14:paraId="1816888C" w14:textId="77777777" w:rsidR="0000251E" w:rsidRPr="0000251E" w:rsidRDefault="0000251E" w:rsidP="0000251E">
            <w:pPr>
              <w:numPr>
                <w:ilvl w:val="1"/>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Received B cell depleting therapy within the past 12 months (including alemtuzumab, rituximab [anti-CD20], anti-thymocyte globulin)</w:t>
            </w:r>
          </w:p>
          <w:p w14:paraId="61C3C4C8" w14:textId="77777777" w:rsidR="0000251E" w:rsidRPr="0000251E" w:rsidRDefault="0000251E" w:rsidP="0000251E">
            <w:pPr>
              <w:numPr>
                <w:ilvl w:val="1"/>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Have an additional substantial risk factor which would in isolation make them eligible for nMABs or oral antivirals</w:t>
            </w:r>
          </w:p>
          <w:p w14:paraId="6E509DCD" w14:textId="77777777" w:rsidR="0000251E" w:rsidRPr="0000251E" w:rsidRDefault="0000251E" w:rsidP="0000251E">
            <w:pPr>
              <w:numPr>
                <w:ilvl w:val="1"/>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Not been vaccinated prior to transplantation</w:t>
            </w:r>
          </w:p>
          <w:p w14:paraId="51A763A5" w14:textId="77777777" w:rsidR="0000251E" w:rsidRPr="0000251E" w:rsidRDefault="0000251E" w:rsidP="0000251E">
            <w:pPr>
              <w:numPr>
                <w:ilvl w:val="0"/>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Non-transplant patients who have received a comparable level of immunosuppression</w:t>
            </w:r>
          </w:p>
          <w:p w14:paraId="7D590C76" w14:textId="77777777" w:rsidR="0000251E" w:rsidRPr="0000251E" w:rsidRDefault="0000251E" w:rsidP="0000251E">
            <w:pPr>
              <w:numPr>
                <w:ilvl w:val="0"/>
                <w:numId w:val="8"/>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lastRenderedPageBreak/>
              <w:t>Patients with chronic kidney stage (CKD) 4 or 5 (an eGFR less than 30 ml/min/1.73m2) without immunosuppression</w:t>
            </w:r>
          </w:p>
        </w:tc>
      </w:tr>
      <w:tr w:rsidR="0000251E" w:rsidRPr="00C11955" w14:paraId="355FC3B5" w14:textId="77777777" w:rsidTr="009247EB">
        <w:tc>
          <w:tcPr>
            <w:tcW w:w="4621" w:type="dxa"/>
            <w:shd w:val="clear" w:color="auto" w:fill="auto"/>
          </w:tcPr>
          <w:p w14:paraId="33B610E6"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lastRenderedPageBreak/>
              <w:t>Patients with liver disease</w:t>
            </w:r>
          </w:p>
        </w:tc>
        <w:tc>
          <w:tcPr>
            <w:tcW w:w="4621" w:type="dxa"/>
            <w:shd w:val="clear" w:color="auto" w:fill="auto"/>
          </w:tcPr>
          <w:p w14:paraId="6796D1A7"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Patients with cirrhosis Child’s-Pugh class B and C (decompensated liver disease).</w:t>
            </w:r>
          </w:p>
          <w:p w14:paraId="325A4563"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Patients with a liver transplant</w:t>
            </w:r>
          </w:p>
          <w:p w14:paraId="0A1DC7D8"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Liver patients on immune suppressive therapy (including patients with and without liver cirrhosis)</w:t>
            </w:r>
          </w:p>
          <w:p w14:paraId="6B2FD74B"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Patients with cirrhosis Child’s-Pugh class A who are not on immune suppressive therapy (compensated liver disease)</w:t>
            </w:r>
          </w:p>
        </w:tc>
      </w:tr>
      <w:tr w:rsidR="0000251E" w:rsidRPr="00C11955" w14:paraId="53F1DE66" w14:textId="77777777" w:rsidTr="009247EB">
        <w:tc>
          <w:tcPr>
            <w:tcW w:w="4621" w:type="dxa"/>
            <w:shd w:val="clear" w:color="auto" w:fill="auto"/>
          </w:tcPr>
          <w:p w14:paraId="000F7039"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Patients with immune-mediated</w:t>
            </w:r>
          </w:p>
          <w:p w14:paraId="30710096"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inflammatory disorders (IMID)</w:t>
            </w:r>
          </w:p>
        </w:tc>
        <w:tc>
          <w:tcPr>
            <w:tcW w:w="4621" w:type="dxa"/>
            <w:shd w:val="clear" w:color="auto" w:fill="auto"/>
          </w:tcPr>
          <w:p w14:paraId="613E886B"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IMID treated with rituximab or other B cell depleting therapy in the last 12 months</w:t>
            </w:r>
          </w:p>
          <w:p w14:paraId="42B81D76"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IMID with active/unstable disease on corticosteroids, cyclophosphamide, tacrolimus, cyclosporin or mycophenolate.</w:t>
            </w:r>
          </w:p>
          <w:p w14:paraId="2B8F5231"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IMID with stable disease on either corticosteroids, cyclophosphamide, tacrolimus, cyclosporin or mycophenolate.</w:t>
            </w:r>
          </w:p>
          <w:p w14:paraId="11042667"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IMID patients with active/unstable disease including those on biological monotherapy and on combination biologicals with thiopurine or methotrexate</w:t>
            </w:r>
          </w:p>
        </w:tc>
      </w:tr>
      <w:tr w:rsidR="0000251E" w:rsidRPr="00C11955" w14:paraId="6410CAD0" w14:textId="77777777" w:rsidTr="009247EB">
        <w:tc>
          <w:tcPr>
            <w:tcW w:w="4621" w:type="dxa"/>
            <w:shd w:val="clear" w:color="auto" w:fill="auto"/>
          </w:tcPr>
          <w:p w14:paraId="69C99FB3"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Primary immune deficiencies</w:t>
            </w:r>
          </w:p>
        </w:tc>
        <w:tc>
          <w:tcPr>
            <w:tcW w:w="4621" w:type="dxa"/>
            <w:shd w:val="clear" w:color="auto" w:fill="auto"/>
          </w:tcPr>
          <w:p w14:paraId="6292B5C9"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Common variable immunodeficiency (CVID)</w:t>
            </w:r>
          </w:p>
          <w:p w14:paraId="601B5EC0"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Undefined primary antibody deficiency on immunoglobulin (or eligible for Ig)</w:t>
            </w:r>
          </w:p>
          <w:p w14:paraId="4285C2F5"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Hyper-IgM syndromes</w:t>
            </w:r>
          </w:p>
          <w:p w14:paraId="5047C98D"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Good’s syndrome (thymoma plus B-cell deficiency)</w:t>
            </w:r>
          </w:p>
          <w:p w14:paraId="2D3FCB27"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Severe Combined Immunodeficiency (SCID)</w:t>
            </w:r>
          </w:p>
          <w:p w14:paraId="15F8F33B"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Autoimmune polyglandular syndromes/autoimmune polyendocrinopathy, candidiasis, ectodermal dystrophy (APECED syndrome)</w:t>
            </w:r>
          </w:p>
          <w:p w14:paraId="6F3A4D9E"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lastRenderedPageBreak/>
              <w:t xml:space="preserve">Primary immunodeficiency associated with impaired type I interferon signalling </w:t>
            </w:r>
          </w:p>
          <w:p w14:paraId="4914D9D8" w14:textId="77777777" w:rsidR="0000251E" w:rsidRPr="0000251E" w:rsidRDefault="0000251E" w:rsidP="0000251E">
            <w:pPr>
              <w:numPr>
                <w:ilvl w:val="0"/>
                <w:numId w:val="10"/>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X-linked agammaglobulinaemia (and other primary agammaglobulinaemias)</w:t>
            </w:r>
          </w:p>
        </w:tc>
      </w:tr>
      <w:tr w:rsidR="0000251E" w:rsidRPr="00C11955" w14:paraId="43271B85" w14:textId="77777777" w:rsidTr="009247EB">
        <w:tc>
          <w:tcPr>
            <w:tcW w:w="4621" w:type="dxa"/>
            <w:shd w:val="clear" w:color="auto" w:fill="auto"/>
          </w:tcPr>
          <w:p w14:paraId="26546495"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lastRenderedPageBreak/>
              <w:t>HIV/AIDS</w:t>
            </w:r>
          </w:p>
        </w:tc>
        <w:tc>
          <w:tcPr>
            <w:tcW w:w="4621" w:type="dxa"/>
            <w:shd w:val="clear" w:color="auto" w:fill="auto"/>
          </w:tcPr>
          <w:p w14:paraId="09666A50" w14:textId="77777777" w:rsidR="0000251E" w:rsidRPr="0000251E" w:rsidRDefault="0000251E" w:rsidP="0000251E">
            <w:pPr>
              <w:numPr>
                <w:ilvl w:val="0"/>
                <w:numId w:val="11"/>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 xml:space="preserve">Patients with high levels of immune suppression, have uncontrolled/untreated HIV (high viral load) </w:t>
            </w:r>
            <w:r w:rsidR="004D0383" w:rsidRPr="0000251E">
              <w:rPr>
                <w:rFonts w:ascii="Calibri Light" w:hAnsi="Calibri Light" w:cs="Calibri Light"/>
                <w:color w:val="000000"/>
                <w:lang w:eastAsia="en-GB"/>
              </w:rPr>
              <w:t>or present</w:t>
            </w:r>
            <w:r w:rsidRPr="0000251E">
              <w:rPr>
                <w:rFonts w:ascii="Calibri Light" w:hAnsi="Calibri Light" w:cs="Calibri Light"/>
                <w:color w:val="000000"/>
                <w:lang w:eastAsia="en-GB"/>
              </w:rPr>
              <w:t xml:space="preserve"> acutely with an AIDS defining diagnosis</w:t>
            </w:r>
          </w:p>
          <w:p w14:paraId="5D872768" w14:textId="77777777" w:rsidR="0000251E" w:rsidRPr="0000251E" w:rsidRDefault="0000251E" w:rsidP="0000251E">
            <w:pPr>
              <w:numPr>
                <w:ilvl w:val="0"/>
                <w:numId w:val="11"/>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On treatment for HIV with CD4 &lt;350 cells/mm</w:t>
            </w:r>
            <w:r w:rsidRPr="0000251E">
              <w:rPr>
                <w:rFonts w:ascii="Calibri Light" w:hAnsi="Calibri Light" w:cs="Calibri Light"/>
                <w:color w:val="000000"/>
                <w:vertAlign w:val="superscript"/>
                <w:lang w:eastAsia="en-GB"/>
              </w:rPr>
              <w:t>3</w:t>
            </w:r>
            <w:r w:rsidRPr="0000251E">
              <w:rPr>
                <w:rFonts w:ascii="Calibri Light" w:hAnsi="Calibri Light" w:cs="Calibri Light"/>
                <w:color w:val="000000"/>
                <w:lang w:eastAsia="en-GB"/>
              </w:rPr>
              <w:t xml:space="preserve"> and stable on HIV treatment or CD4&gt;350 cells/mm</w:t>
            </w:r>
            <w:r w:rsidRPr="0000251E">
              <w:rPr>
                <w:rFonts w:ascii="Calibri Light" w:hAnsi="Calibri Light" w:cs="Calibri Light"/>
                <w:color w:val="000000"/>
                <w:vertAlign w:val="superscript"/>
                <w:lang w:eastAsia="en-GB"/>
              </w:rPr>
              <w:t>3</w:t>
            </w:r>
            <w:r w:rsidRPr="0000251E">
              <w:rPr>
                <w:rFonts w:ascii="Calibri Light" w:hAnsi="Calibri Light" w:cs="Calibri Light"/>
                <w:color w:val="000000"/>
                <w:lang w:eastAsia="en-GB"/>
              </w:rPr>
              <w:t xml:space="preserve"> and additional risk factors (e.g. age, diabetes, obesity, cardiovascular, liver or renal disease, homeless, those with alcohol-dependence)</w:t>
            </w:r>
          </w:p>
        </w:tc>
      </w:tr>
      <w:tr w:rsidR="0000251E" w:rsidRPr="00C11955" w14:paraId="7FD01947" w14:textId="77777777" w:rsidTr="009247EB">
        <w:tc>
          <w:tcPr>
            <w:tcW w:w="4621" w:type="dxa"/>
            <w:shd w:val="clear" w:color="auto" w:fill="auto"/>
          </w:tcPr>
          <w:p w14:paraId="1EB559AE"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Solid organ transplant recipients</w:t>
            </w:r>
          </w:p>
        </w:tc>
        <w:tc>
          <w:tcPr>
            <w:tcW w:w="4621" w:type="dxa"/>
            <w:shd w:val="clear" w:color="auto" w:fill="auto"/>
          </w:tcPr>
          <w:p w14:paraId="04596FED" w14:textId="77777777" w:rsidR="0000251E" w:rsidRPr="0000251E" w:rsidRDefault="0000251E" w:rsidP="009247EB">
            <w:pPr>
              <w:pStyle w:val="Default"/>
              <w:rPr>
                <w:rFonts w:ascii="Calibri Light" w:hAnsi="Calibri Light" w:cs="Calibri Light"/>
                <w:sz w:val="22"/>
                <w:szCs w:val="22"/>
              </w:rPr>
            </w:pPr>
            <w:r w:rsidRPr="0000251E">
              <w:rPr>
                <w:rFonts w:ascii="Calibri Light" w:hAnsi="Calibri Light" w:cs="Calibri Light"/>
                <w:sz w:val="22"/>
                <w:szCs w:val="22"/>
              </w:rPr>
              <w:t>All recipients of solid organ transplants not otherwise specified above</w:t>
            </w:r>
          </w:p>
        </w:tc>
      </w:tr>
      <w:tr w:rsidR="0000251E" w:rsidRPr="00C11955" w14:paraId="5666826D" w14:textId="77777777" w:rsidTr="009247EB">
        <w:tc>
          <w:tcPr>
            <w:tcW w:w="4621" w:type="dxa"/>
            <w:shd w:val="clear" w:color="auto" w:fill="auto"/>
          </w:tcPr>
          <w:p w14:paraId="32809962" w14:textId="77777777" w:rsidR="0000251E" w:rsidRPr="0000251E" w:rsidRDefault="0000251E" w:rsidP="009247EB">
            <w:pPr>
              <w:autoSpaceDE w:val="0"/>
              <w:autoSpaceDN w:val="0"/>
              <w:adjustRightInd w:val="0"/>
              <w:rPr>
                <w:rFonts w:ascii="Calibri Light" w:hAnsi="Calibri Light" w:cs="Calibri Light"/>
                <w:color w:val="000000"/>
                <w:lang w:eastAsia="en-GB"/>
              </w:rPr>
            </w:pPr>
            <w:r w:rsidRPr="0000251E">
              <w:rPr>
                <w:rFonts w:ascii="Calibri Light" w:hAnsi="Calibri Light" w:cs="Calibri Light"/>
                <w:color w:val="000000"/>
                <w:lang w:eastAsia="en-GB"/>
              </w:rPr>
              <w:t>Rare neurological conditions</w:t>
            </w:r>
          </w:p>
        </w:tc>
        <w:tc>
          <w:tcPr>
            <w:tcW w:w="4621" w:type="dxa"/>
            <w:shd w:val="clear" w:color="auto" w:fill="auto"/>
          </w:tcPr>
          <w:p w14:paraId="35AADC02" w14:textId="77777777" w:rsidR="0000251E" w:rsidRPr="0000251E" w:rsidRDefault="0000251E" w:rsidP="0000251E">
            <w:pPr>
              <w:numPr>
                <w:ilvl w:val="0"/>
                <w:numId w:val="12"/>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Multiple sclerosis</w:t>
            </w:r>
          </w:p>
          <w:p w14:paraId="3F29B3C8"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Motor neurone disease</w:t>
            </w:r>
          </w:p>
          <w:p w14:paraId="47819D6F" w14:textId="77777777" w:rsidR="0000251E" w:rsidRPr="0000251E" w:rsidRDefault="0000251E" w:rsidP="0000251E">
            <w:pPr>
              <w:numPr>
                <w:ilvl w:val="0"/>
                <w:numId w:val="9"/>
              </w:numPr>
              <w:autoSpaceDE w:val="0"/>
              <w:autoSpaceDN w:val="0"/>
              <w:adjustRightInd w:val="0"/>
              <w:spacing w:after="0" w:line="240" w:lineRule="auto"/>
              <w:rPr>
                <w:rFonts w:ascii="Calibri Light" w:hAnsi="Calibri Light" w:cs="Calibri Light"/>
                <w:color w:val="000000"/>
                <w:lang w:eastAsia="en-GB"/>
              </w:rPr>
            </w:pPr>
            <w:r w:rsidRPr="0000251E">
              <w:rPr>
                <w:rFonts w:ascii="Calibri Light" w:hAnsi="Calibri Light" w:cs="Calibri Light"/>
                <w:color w:val="000000"/>
                <w:lang w:eastAsia="en-GB"/>
              </w:rPr>
              <w:t>Myasthenia gravis</w:t>
            </w:r>
          </w:p>
          <w:p w14:paraId="1EB2D3B1" w14:textId="77777777" w:rsidR="0000251E" w:rsidRPr="0000251E" w:rsidRDefault="0000251E" w:rsidP="0000251E">
            <w:pPr>
              <w:numPr>
                <w:ilvl w:val="0"/>
                <w:numId w:val="12"/>
              </w:numPr>
              <w:autoSpaceDE w:val="0"/>
              <w:autoSpaceDN w:val="0"/>
              <w:adjustRightInd w:val="0"/>
              <w:spacing w:after="0" w:line="240" w:lineRule="auto"/>
              <w:ind w:left="360"/>
              <w:rPr>
                <w:rFonts w:ascii="Calibri Light" w:hAnsi="Calibri Light" w:cs="Calibri Light"/>
                <w:color w:val="000000"/>
                <w:lang w:eastAsia="en-GB"/>
              </w:rPr>
            </w:pPr>
            <w:r w:rsidRPr="0000251E">
              <w:rPr>
                <w:rFonts w:ascii="Calibri Light" w:hAnsi="Calibri Light" w:cs="Calibri Light"/>
                <w:color w:val="000000"/>
                <w:lang w:eastAsia="en-GB"/>
              </w:rPr>
              <w:t>Huntington’s disease</w:t>
            </w:r>
          </w:p>
        </w:tc>
      </w:tr>
    </w:tbl>
    <w:p w14:paraId="1299C43A" w14:textId="77777777" w:rsidR="0000251E" w:rsidRDefault="0000251E" w:rsidP="0000251E">
      <w:pPr>
        <w:autoSpaceDE w:val="0"/>
        <w:autoSpaceDN w:val="0"/>
        <w:adjustRightInd w:val="0"/>
        <w:rPr>
          <w:rFonts w:cs="Calibri"/>
          <w:color w:val="000000"/>
          <w:u w:val="single"/>
          <w:lang w:eastAsia="en-GB"/>
        </w:rPr>
      </w:pPr>
    </w:p>
    <w:p w14:paraId="4DDBEF00" w14:textId="77777777" w:rsidR="0000251E" w:rsidRPr="003818BA" w:rsidRDefault="0000251E" w:rsidP="0000251E">
      <w:pPr>
        <w:autoSpaceDE w:val="0"/>
        <w:autoSpaceDN w:val="0"/>
        <w:adjustRightInd w:val="0"/>
        <w:rPr>
          <w:rFonts w:cs="Calibri"/>
          <w:color w:val="000000"/>
          <w:u w:val="single"/>
          <w:lang w:eastAsia="en-GB"/>
        </w:rPr>
      </w:pPr>
    </w:p>
    <w:p w14:paraId="3461D779" w14:textId="77777777" w:rsidR="0000251E" w:rsidRPr="0000251E" w:rsidRDefault="0000251E" w:rsidP="0000251E">
      <w:pPr>
        <w:jc w:val="both"/>
        <w:rPr>
          <w:rFonts w:ascii="Calibri Light" w:hAnsi="Calibri Light" w:cs="Calibri Light"/>
        </w:rPr>
      </w:pPr>
    </w:p>
    <w:p w14:paraId="3CF2D8B6" w14:textId="77777777" w:rsidR="0000251E" w:rsidRPr="00F63CA3" w:rsidRDefault="0000251E" w:rsidP="0013141E">
      <w:pPr>
        <w:rPr>
          <w:rFonts w:ascii="Arial" w:hAnsi="Arial" w:cs="Arial"/>
          <w:color w:val="000000"/>
        </w:rPr>
      </w:pPr>
    </w:p>
    <w:sectPr w:rsidR="0000251E" w:rsidRPr="00F63CA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8278" w14:textId="77777777" w:rsidR="00DA216E" w:rsidRDefault="00DA216E" w:rsidP="00DC5312">
      <w:pPr>
        <w:spacing w:after="0" w:line="240" w:lineRule="auto"/>
      </w:pPr>
      <w:r>
        <w:separator/>
      </w:r>
    </w:p>
  </w:endnote>
  <w:endnote w:type="continuationSeparator" w:id="0">
    <w:p w14:paraId="1FC39945" w14:textId="77777777" w:rsidR="00DA216E" w:rsidRDefault="00DA216E" w:rsidP="00DC5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Pro 45 Light">
    <w:charset w:val="00"/>
    <w:family w:val="auto"/>
    <w:pitch w:val="default"/>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D22A9" w14:textId="77777777" w:rsidR="00DC5312" w:rsidRDefault="00DC5312">
    <w:pPr>
      <w:pStyle w:val="Footer"/>
      <w:jc w:val="right"/>
    </w:pPr>
    <w:r>
      <w:fldChar w:fldCharType="begin"/>
    </w:r>
    <w:r>
      <w:instrText xml:space="preserve"> PAGE   \* MERGEFORMAT </w:instrText>
    </w:r>
    <w:r>
      <w:fldChar w:fldCharType="separate"/>
    </w:r>
    <w:r w:rsidR="00D0003F">
      <w:rPr>
        <w:noProof/>
      </w:rPr>
      <w:t>1</w:t>
    </w:r>
    <w:r>
      <w:rPr>
        <w:noProof/>
      </w:rPr>
      <w:fldChar w:fldCharType="end"/>
    </w:r>
  </w:p>
  <w:p w14:paraId="62EBF3C5" w14:textId="77777777" w:rsidR="00DC5312" w:rsidRDefault="00DC5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62CB0E" w14:textId="77777777" w:rsidR="00DA216E" w:rsidRDefault="00DA216E" w:rsidP="00DC5312">
      <w:pPr>
        <w:spacing w:after="0" w:line="240" w:lineRule="auto"/>
      </w:pPr>
      <w:r>
        <w:separator/>
      </w:r>
    </w:p>
  </w:footnote>
  <w:footnote w:type="continuationSeparator" w:id="0">
    <w:p w14:paraId="34CE0A41" w14:textId="77777777" w:rsidR="00DA216E" w:rsidRDefault="00DA216E" w:rsidP="00DC53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D3AF0"/>
    <w:multiLevelType w:val="hybridMultilevel"/>
    <w:tmpl w:val="25F0B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026996"/>
    <w:multiLevelType w:val="hybridMultilevel"/>
    <w:tmpl w:val="B5168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0034EA"/>
    <w:multiLevelType w:val="hybridMultilevel"/>
    <w:tmpl w:val="A29498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930A0D"/>
    <w:multiLevelType w:val="hybridMultilevel"/>
    <w:tmpl w:val="96746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FF6E467"/>
    <w:multiLevelType w:val="hybridMultilevel"/>
    <w:tmpl w:val="0B8EA7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5534250"/>
    <w:multiLevelType w:val="hybridMultilevel"/>
    <w:tmpl w:val="D9B821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973B5BD"/>
    <w:multiLevelType w:val="hybridMultilevel"/>
    <w:tmpl w:val="F81B99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F073BC"/>
    <w:multiLevelType w:val="hybridMultilevel"/>
    <w:tmpl w:val="9B0E0C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C05EE8"/>
    <w:multiLevelType w:val="hybridMultilevel"/>
    <w:tmpl w:val="56904436"/>
    <w:lvl w:ilvl="0" w:tplc="08090001">
      <w:start w:val="1"/>
      <w:numFmt w:val="bullet"/>
      <w:lvlText w:val=""/>
      <w:lvlJc w:val="left"/>
      <w:pPr>
        <w:ind w:left="360" w:hanging="360"/>
      </w:pPr>
      <w:rPr>
        <w:rFonts w:ascii="Symbol" w:hAnsi="Symbol" w:hint="default"/>
      </w:rPr>
    </w:lvl>
    <w:lvl w:ilvl="1" w:tplc="37B6C452">
      <w:numFmt w:val="bullet"/>
      <w:lvlText w:val="•"/>
      <w:lvlJc w:val="left"/>
      <w:pPr>
        <w:ind w:left="1080" w:hanging="360"/>
      </w:pPr>
      <w:rPr>
        <w:rFonts w:ascii="Calibri" w:eastAsia="Calibr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7B50265"/>
    <w:multiLevelType w:val="hybridMultilevel"/>
    <w:tmpl w:val="13A64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D632F8E"/>
    <w:multiLevelType w:val="hybridMultilevel"/>
    <w:tmpl w:val="1E446C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348A111"/>
    <w:multiLevelType w:val="hybridMultilevel"/>
    <w:tmpl w:val="A96727A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4"/>
  </w:num>
  <w:num w:numId="3">
    <w:abstractNumId w:val="5"/>
  </w:num>
  <w:num w:numId="4">
    <w:abstractNumId w:val="11"/>
  </w:num>
  <w:num w:numId="5">
    <w:abstractNumId w:val="2"/>
  </w:num>
  <w:num w:numId="6">
    <w:abstractNumId w:val="9"/>
  </w:num>
  <w:num w:numId="7">
    <w:abstractNumId w:val="3"/>
  </w:num>
  <w:num w:numId="8">
    <w:abstractNumId w:val="10"/>
  </w:num>
  <w:num w:numId="9">
    <w:abstractNumId w:val="8"/>
  </w:num>
  <w:num w:numId="10">
    <w:abstractNumId w:val="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D16"/>
    <w:rsid w:val="0000251E"/>
    <w:rsid w:val="000254A1"/>
    <w:rsid w:val="000652A3"/>
    <w:rsid w:val="00113C81"/>
    <w:rsid w:val="0013141E"/>
    <w:rsid w:val="00154A31"/>
    <w:rsid w:val="00281F6D"/>
    <w:rsid w:val="002C3C19"/>
    <w:rsid w:val="00357DC9"/>
    <w:rsid w:val="0036528D"/>
    <w:rsid w:val="00396D16"/>
    <w:rsid w:val="003D22A1"/>
    <w:rsid w:val="00404AF5"/>
    <w:rsid w:val="004428F7"/>
    <w:rsid w:val="004D0383"/>
    <w:rsid w:val="00567185"/>
    <w:rsid w:val="00574252"/>
    <w:rsid w:val="005A4C10"/>
    <w:rsid w:val="005C6591"/>
    <w:rsid w:val="005E57BC"/>
    <w:rsid w:val="00617F2B"/>
    <w:rsid w:val="006570C6"/>
    <w:rsid w:val="00680922"/>
    <w:rsid w:val="006B474A"/>
    <w:rsid w:val="006B48E7"/>
    <w:rsid w:val="00707E48"/>
    <w:rsid w:val="00782CC8"/>
    <w:rsid w:val="007916D3"/>
    <w:rsid w:val="0086103E"/>
    <w:rsid w:val="00886927"/>
    <w:rsid w:val="008A00ED"/>
    <w:rsid w:val="008B65EA"/>
    <w:rsid w:val="008B776F"/>
    <w:rsid w:val="008D287C"/>
    <w:rsid w:val="008E5FC5"/>
    <w:rsid w:val="009010FD"/>
    <w:rsid w:val="009247EB"/>
    <w:rsid w:val="00A17165"/>
    <w:rsid w:val="00A46D51"/>
    <w:rsid w:val="00A50360"/>
    <w:rsid w:val="00A57F20"/>
    <w:rsid w:val="00AA59AC"/>
    <w:rsid w:val="00AB4682"/>
    <w:rsid w:val="00B55CD0"/>
    <w:rsid w:val="00C22EB8"/>
    <w:rsid w:val="00CE094A"/>
    <w:rsid w:val="00D0003F"/>
    <w:rsid w:val="00D00B2E"/>
    <w:rsid w:val="00DA216E"/>
    <w:rsid w:val="00DA37B1"/>
    <w:rsid w:val="00DB5D6B"/>
    <w:rsid w:val="00DC5312"/>
    <w:rsid w:val="00E003B4"/>
    <w:rsid w:val="00E971BA"/>
    <w:rsid w:val="00EE3021"/>
    <w:rsid w:val="00EF1FBD"/>
    <w:rsid w:val="00F63CA3"/>
    <w:rsid w:val="00F848A0"/>
    <w:rsid w:val="00FB4CCD"/>
    <w:rsid w:val="00FD1218"/>
    <w:rsid w:val="5863C3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9101"/>
  <w15:chartTrackingRefBased/>
  <w15:docId w15:val="{E614CB6D-3B1A-4C99-AF95-F6D43856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96D16"/>
    <w:rPr>
      <w:sz w:val="16"/>
      <w:szCs w:val="16"/>
    </w:rPr>
  </w:style>
  <w:style w:type="paragraph" w:styleId="CommentText">
    <w:name w:val="annotation text"/>
    <w:basedOn w:val="Normal"/>
    <w:link w:val="CommentTextChar"/>
    <w:uiPriority w:val="99"/>
    <w:semiHidden/>
    <w:unhideWhenUsed/>
    <w:rsid w:val="00396D16"/>
    <w:rPr>
      <w:sz w:val="20"/>
      <w:szCs w:val="20"/>
    </w:rPr>
  </w:style>
  <w:style w:type="character" w:customStyle="1" w:styleId="CommentTextChar">
    <w:name w:val="Comment Text Char"/>
    <w:link w:val="CommentText"/>
    <w:uiPriority w:val="99"/>
    <w:semiHidden/>
    <w:rsid w:val="00396D16"/>
    <w:rPr>
      <w:lang w:eastAsia="en-US"/>
    </w:rPr>
  </w:style>
  <w:style w:type="paragraph" w:styleId="CommentSubject">
    <w:name w:val="annotation subject"/>
    <w:basedOn w:val="CommentText"/>
    <w:next w:val="CommentText"/>
    <w:link w:val="CommentSubjectChar"/>
    <w:uiPriority w:val="99"/>
    <w:semiHidden/>
    <w:unhideWhenUsed/>
    <w:rsid w:val="00396D16"/>
    <w:rPr>
      <w:b/>
      <w:bCs/>
    </w:rPr>
  </w:style>
  <w:style w:type="character" w:customStyle="1" w:styleId="CommentSubjectChar">
    <w:name w:val="Comment Subject Char"/>
    <w:link w:val="CommentSubject"/>
    <w:uiPriority w:val="99"/>
    <w:semiHidden/>
    <w:rsid w:val="00396D16"/>
    <w:rPr>
      <w:b/>
      <w:bCs/>
      <w:lang w:eastAsia="en-US"/>
    </w:rPr>
  </w:style>
  <w:style w:type="paragraph" w:styleId="BalloonText">
    <w:name w:val="Balloon Text"/>
    <w:basedOn w:val="Normal"/>
    <w:link w:val="BalloonTextChar"/>
    <w:uiPriority w:val="99"/>
    <w:semiHidden/>
    <w:unhideWhenUsed/>
    <w:rsid w:val="00396D1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96D16"/>
    <w:rPr>
      <w:rFonts w:ascii="Segoe UI" w:hAnsi="Segoe UI" w:cs="Segoe UI"/>
      <w:sz w:val="18"/>
      <w:szCs w:val="18"/>
      <w:lang w:eastAsia="en-US"/>
    </w:rPr>
  </w:style>
  <w:style w:type="paragraph" w:customStyle="1" w:styleId="Default">
    <w:name w:val="Default"/>
    <w:rsid w:val="00396D16"/>
    <w:pPr>
      <w:autoSpaceDE w:val="0"/>
      <w:autoSpaceDN w:val="0"/>
      <w:adjustRightInd w:val="0"/>
    </w:pPr>
    <w:rPr>
      <w:rFonts w:ascii="Arial" w:hAnsi="Arial" w:cs="Arial"/>
      <w:color w:val="000000"/>
      <w:sz w:val="24"/>
      <w:szCs w:val="24"/>
      <w:lang w:eastAsia="en-GB"/>
    </w:rPr>
  </w:style>
  <w:style w:type="character" w:styleId="Hyperlink">
    <w:name w:val="Hyperlink"/>
    <w:uiPriority w:val="99"/>
    <w:unhideWhenUsed/>
    <w:rsid w:val="002C3C19"/>
    <w:rPr>
      <w:color w:val="0000FF"/>
      <w:u w:val="single"/>
    </w:rPr>
  </w:style>
  <w:style w:type="character" w:customStyle="1" w:styleId="A1">
    <w:name w:val="A1"/>
    <w:uiPriority w:val="99"/>
    <w:rsid w:val="002C3C19"/>
    <w:rPr>
      <w:rFonts w:ascii="Frutiger LT Pro 45 Light" w:hAnsi="Frutiger LT Pro 45 Light" w:hint="default"/>
      <w:color w:val="000000"/>
    </w:rPr>
  </w:style>
  <w:style w:type="paragraph" w:styleId="NormalWeb">
    <w:name w:val="Normal (Web)"/>
    <w:basedOn w:val="Normal"/>
    <w:uiPriority w:val="99"/>
    <w:semiHidden/>
    <w:unhideWhenUsed/>
    <w:rsid w:val="00FD1218"/>
    <w:pPr>
      <w:spacing w:after="0" w:line="240" w:lineRule="auto"/>
    </w:pPr>
    <w:rPr>
      <w:rFonts w:ascii="Times New Roman" w:hAnsi="Times New Roman"/>
      <w:sz w:val="24"/>
      <w:szCs w:val="24"/>
      <w:lang w:eastAsia="en-GB"/>
    </w:rPr>
  </w:style>
  <w:style w:type="paragraph" w:styleId="Revision">
    <w:name w:val="Revision"/>
    <w:hidden/>
    <w:uiPriority w:val="99"/>
    <w:semiHidden/>
    <w:rsid w:val="0000251E"/>
    <w:rPr>
      <w:sz w:val="22"/>
      <w:szCs w:val="22"/>
      <w:lang w:eastAsia="en-US"/>
    </w:rPr>
  </w:style>
  <w:style w:type="paragraph" w:styleId="Header">
    <w:name w:val="header"/>
    <w:basedOn w:val="Normal"/>
    <w:link w:val="HeaderChar"/>
    <w:uiPriority w:val="99"/>
    <w:unhideWhenUsed/>
    <w:rsid w:val="00DC5312"/>
    <w:pPr>
      <w:tabs>
        <w:tab w:val="center" w:pos="4513"/>
        <w:tab w:val="right" w:pos="9026"/>
      </w:tabs>
    </w:pPr>
  </w:style>
  <w:style w:type="character" w:customStyle="1" w:styleId="HeaderChar">
    <w:name w:val="Header Char"/>
    <w:link w:val="Header"/>
    <w:uiPriority w:val="99"/>
    <w:rsid w:val="00DC5312"/>
    <w:rPr>
      <w:sz w:val="22"/>
      <w:szCs w:val="22"/>
      <w:lang w:eastAsia="en-US"/>
    </w:rPr>
  </w:style>
  <w:style w:type="paragraph" w:styleId="Footer">
    <w:name w:val="footer"/>
    <w:basedOn w:val="Normal"/>
    <w:link w:val="FooterChar"/>
    <w:uiPriority w:val="99"/>
    <w:unhideWhenUsed/>
    <w:rsid w:val="00DC5312"/>
    <w:pPr>
      <w:tabs>
        <w:tab w:val="center" w:pos="4513"/>
        <w:tab w:val="right" w:pos="9026"/>
      </w:tabs>
    </w:pPr>
  </w:style>
  <w:style w:type="character" w:customStyle="1" w:styleId="FooterChar">
    <w:name w:val="Footer Char"/>
    <w:link w:val="Footer"/>
    <w:uiPriority w:val="99"/>
    <w:rsid w:val="00DC5312"/>
    <w:rPr>
      <w:sz w:val="22"/>
      <w:szCs w:val="22"/>
      <w:lang w:eastAsia="en-US"/>
    </w:rPr>
  </w:style>
  <w:style w:type="character" w:styleId="FollowedHyperlink">
    <w:name w:val="FollowedHyperlink"/>
    <w:uiPriority w:val="99"/>
    <w:semiHidden/>
    <w:unhideWhenUsed/>
    <w:rsid w:val="0057425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8487">
      <w:bodyDiv w:val="1"/>
      <w:marLeft w:val="0"/>
      <w:marRight w:val="0"/>
      <w:marTop w:val="0"/>
      <w:marBottom w:val="0"/>
      <w:divBdr>
        <w:top w:val="none" w:sz="0" w:space="0" w:color="auto"/>
        <w:left w:val="none" w:sz="0" w:space="0" w:color="auto"/>
        <w:bottom w:val="none" w:sz="0" w:space="0" w:color="auto"/>
        <w:right w:val="none" w:sz="0" w:space="0" w:color="auto"/>
      </w:divBdr>
    </w:div>
    <w:div w:id="249893579">
      <w:bodyDiv w:val="1"/>
      <w:marLeft w:val="0"/>
      <w:marRight w:val="0"/>
      <w:marTop w:val="0"/>
      <w:marBottom w:val="0"/>
      <w:divBdr>
        <w:top w:val="none" w:sz="0" w:space="0" w:color="auto"/>
        <w:left w:val="none" w:sz="0" w:space="0" w:color="auto"/>
        <w:bottom w:val="none" w:sz="0" w:space="0" w:color="auto"/>
        <w:right w:val="none" w:sz="0" w:space="0" w:color="auto"/>
      </w:divBdr>
    </w:div>
    <w:div w:id="1403528654">
      <w:bodyDiv w:val="1"/>
      <w:marLeft w:val="0"/>
      <w:marRight w:val="0"/>
      <w:marTop w:val="0"/>
      <w:marBottom w:val="0"/>
      <w:divBdr>
        <w:top w:val="none" w:sz="0" w:space="0" w:color="auto"/>
        <w:left w:val="none" w:sz="0" w:space="0" w:color="auto"/>
        <w:bottom w:val="none" w:sz="0" w:space="0" w:color="auto"/>
        <w:right w:val="none" w:sz="0" w:space="0" w:color="auto"/>
      </w:divBdr>
    </w:div>
    <w:div w:id="151179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dicines.org.uk/emc/files/pil.1304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hsinform.scot/illnesses-and-conditions/infections-and-poisoning/coronavirus-covid-19/coronavirus-covid-19-treatme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s.mhra.gov.uk/ViewandAcknowledgment/ViewAlert.aspx?AlertID=10318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ejm.org/doi/full/10.1056/NEJMoa2107934" TargetMode="External"/><Relationship Id="rId4" Type="http://schemas.openxmlformats.org/officeDocument/2006/relationships/settings" Target="settings.xml"/><Relationship Id="rId9" Type="http://schemas.openxmlformats.org/officeDocument/2006/relationships/hyperlink" Target="https://www.cas.mhra.gov.uk/ViewandAcknowledgment/ViewAlert.aspx?AlertID=103186" TargetMode="External"/><Relationship Id="rId14" Type="http://schemas.openxmlformats.org/officeDocument/2006/relationships/hyperlink" Target="https://www.nhsinform.scot/illnesses-and-conditions/infections-and-poisoning/coronavirus-covid-19/coronavirus-covid-19-treat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20CC07-E78A-42C4-AB2F-0BCD4B36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1916</Words>
  <Characters>10923</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Caldwell, Gail</dc:creator>
  <cp:keywords/>
  <dc:description/>
  <cp:lastModifiedBy>Hendren, Sandra</cp:lastModifiedBy>
  <cp:revision>2</cp:revision>
  <dcterms:created xsi:type="dcterms:W3CDTF">2021-12-31T11:17:00Z</dcterms:created>
  <dcterms:modified xsi:type="dcterms:W3CDTF">2021-12-31T11:17:00Z</dcterms:modified>
</cp:coreProperties>
</file>