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2" w:type="dxa"/>
        <w:tblInd w:w="-426" w:type="dxa"/>
        <w:tblCellMar>
          <w:left w:w="0" w:type="dxa"/>
          <w:right w:w="0" w:type="dxa"/>
        </w:tblCellMar>
        <w:tblLook w:val="04A0"/>
      </w:tblPr>
      <w:tblGrid>
        <w:gridCol w:w="313"/>
        <w:gridCol w:w="9139"/>
      </w:tblGrid>
      <w:tr w:rsidR="00F75D3E" w:rsidTr="00F75D3E">
        <w:trPr>
          <w:trHeight w:val="3828"/>
        </w:trPr>
        <w:tc>
          <w:tcPr>
            <w:tcW w:w="9452" w:type="dxa"/>
            <w:gridSpan w:val="2"/>
            <w:hideMark/>
          </w:tcPr>
          <w:p w:rsidR="00F75D3E" w:rsidRDefault="00F75D3E" w:rsidP="00F75D3E">
            <w:pPr>
              <w:spacing w:before="150" w:after="150" w:line="360" w:lineRule="atLeast"/>
              <w:ind w:left="-425" w:firstLine="142"/>
              <w:jc w:val="center"/>
              <w:rPr>
                <w:lang w:eastAsia="en-GB"/>
              </w:rPr>
            </w:pPr>
            <w:r>
              <w:rPr>
                <w:noProof/>
                <w:lang w:eastAsia="en-GB"/>
              </w:rPr>
              <w:drawing>
                <wp:inline distT="0" distB="0" distL="0" distR="0">
                  <wp:extent cx="6781800" cy="2305050"/>
                  <wp:effectExtent l="19050" t="0" r="0" b="0"/>
                  <wp:docPr id="1" name="Picture 1" descr="cid:image001.jpg@01D66A67.2F5DC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6A67.2F5DCAE0"/>
                          <pic:cNvPicPr>
                            <a:picLocks noChangeAspect="1" noChangeArrowheads="1"/>
                          </pic:cNvPicPr>
                        </pic:nvPicPr>
                        <pic:blipFill>
                          <a:blip r:embed="rId5" r:link="rId6" cstate="print"/>
                          <a:srcRect/>
                          <a:stretch>
                            <a:fillRect/>
                          </a:stretch>
                        </pic:blipFill>
                        <pic:spPr bwMode="auto">
                          <a:xfrm>
                            <a:off x="0" y="0"/>
                            <a:ext cx="6781800" cy="2305050"/>
                          </a:xfrm>
                          <a:prstGeom prst="rect">
                            <a:avLst/>
                          </a:prstGeom>
                          <a:noFill/>
                          <a:ln w="9525">
                            <a:noFill/>
                            <a:miter lim="800000"/>
                            <a:headEnd/>
                            <a:tailEnd/>
                          </a:ln>
                        </pic:spPr>
                      </pic:pic>
                    </a:graphicData>
                  </a:graphic>
                </wp:inline>
              </w:drawing>
            </w:r>
          </w:p>
        </w:tc>
      </w:tr>
      <w:tr w:rsidR="00F75D3E" w:rsidTr="00F75D3E">
        <w:trPr>
          <w:trHeight w:val="3053"/>
        </w:trPr>
        <w:tc>
          <w:tcPr>
            <w:tcW w:w="331" w:type="dxa"/>
            <w:vAlign w:val="center"/>
            <w:hideMark/>
          </w:tcPr>
          <w:p w:rsidR="00F75D3E" w:rsidRDefault="00F75D3E">
            <w:r>
              <w:t> </w:t>
            </w:r>
          </w:p>
        </w:tc>
        <w:tc>
          <w:tcPr>
            <w:tcW w:w="9121" w:type="dxa"/>
          </w:tcPr>
          <w:p w:rsidR="00F75D3E" w:rsidRDefault="00F75D3E">
            <w:pPr>
              <w:spacing w:line="360" w:lineRule="atLeast"/>
              <w:rPr>
                <w:rFonts w:ascii="Helvetica" w:hAnsi="Helvetica" w:cs="Helvetica"/>
                <w:color w:val="052F61"/>
              </w:rPr>
            </w:pPr>
          </w:p>
          <w:p w:rsidR="00F75D3E" w:rsidRDefault="00F75D3E">
            <w:pPr>
              <w:spacing w:line="360" w:lineRule="auto"/>
              <w:ind w:left="360"/>
              <w:rPr>
                <w:b/>
                <w:bCs/>
                <w:color w:val="F39200"/>
                <w:sz w:val="32"/>
                <w:szCs w:val="32"/>
              </w:rPr>
            </w:pPr>
            <w:r>
              <w:rPr>
                <w:b/>
                <w:bCs/>
                <w:color w:val="F39200"/>
                <w:sz w:val="32"/>
                <w:szCs w:val="32"/>
              </w:rPr>
              <w:t xml:space="preserve">Here’s what you’ll find in </w:t>
            </w:r>
            <w:proofErr w:type="spellStart"/>
            <w:r>
              <w:rPr>
                <w:b/>
                <w:bCs/>
                <w:color w:val="F39200"/>
                <w:sz w:val="32"/>
                <w:szCs w:val="32"/>
              </w:rPr>
              <w:t>August’s</w:t>
            </w:r>
            <w:proofErr w:type="spellEnd"/>
            <w:r>
              <w:rPr>
                <w:b/>
                <w:bCs/>
                <w:color w:val="F39200"/>
                <w:sz w:val="32"/>
                <w:szCs w:val="32"/>
              </w:rPr>
              <w:t xml:space="preserve"> edition of the Seasonal Flu Newsletter:</w:t>
            </w:r>
          </w:p>
          <w:p w:rsidR="00F75D3E" w:rsidRDefault="00F75D3E" w:rsidP="00F62138">
            <w:pPr>
              <w:numPr>
                <w:ilvl w:val="0"/>
                <w:numId w:val="1"/>
              </w:numPr>
              <w:spacing w:line="360" w:lineRule="auto"/>
              <w:rPr>
                <w:rStyle w:val="Hyperlink"/>
                <w:rFonts w:eastAsia="Times New Roman"/>
                <w:color w:val="146194"/>
              </w:rPr>
            </w:pPr>
            <w:hyperlink w:anchor="_Message_from_Chief" w:history="1">
              <w:r>
                <w:rPr>
                  <w:rStyle w:val="Hyperlink"/>
                  <w:rFonts w:eastAsia="Times New Roman"/>
                </w:rPr>
                <w:t>Welcome</w:t>
              </w:r>
            </w:hyperlink>
          </w:p>
          <w:p w:rsidR="00F75D3E" w:rsidRDefault="00F75D3E" w:rsidP="00F62138">
            <w:pPr>
              <w:numPr>
                <w:ilvl w:val="0"/>
                <w:numId w:val="1"/>
              </w:numPr>
              <w:spacing w:line="360" w:lineRule="auto"/>
              <w:rPr>
                <w:rStyle w:val="Hyperlink"/>
                <w:rFonts w:eastAsia="Times New Roman"/>
                <w:color w:val="146194"/>
              </w:rPr>
            </w:pPr>
            <w:hyperlink w:anchor="vaccines" w:history="1">
              <w:r>
                <w:rPr>
                  <w:rStyle w:val="Hyperlink"/>
                  <w:rFonts w:eastAsia="Times New Roman"/>
                </w:rPr>
                <w:t>2020/2021 Vaccines</w:t>
              </w:r>
            </w:hyperlink>
          </w:p>
          <w:p w:rsidR="00F75D3E" w:rsidRDefault="00F75D3E" w:rsidP="00F62138">
            <w:pPr>
              <w:numPr>
                <w:ilvl w:val="0"/>
                <w:numId w:val="1"/>
              </w:numPr>
              <w:spacing w:line="360" w:lineRule="auto"/>
              <w:rPr>
                <w:rStyle w:val="Hyperlink"/>
                <w:rFonts w:eastAsia="Times New Roman"/>
                <w:color w:val="146194"/>
              </w:rPr>
            </w:pPr>
            <w:hyperlink w:anchor="_2020/2021_Ordering_Arrangements" w:history="1">
              <w:r>
                <w:rPr>
                  <w:rStyle w:val="Hyperlink"/>
                  <w:rFonts w:eastAsia="Times New Roman"/>
                </w:rPr>
                <w:t>Ordering Arrangements</w:t>
              </w:r>
            </w:hyperlink>
          </w:p>
          <w:p w:rsidR="00F75D3E" w:rsidRDefault="00F75D3E" w:rsidP="00F62138">
            <w:pPr>
              <w:numPr>
                <w:ilvl w:val="0"/>
                <w:numId w:val="1"/>
              </w:numPr>
              <w:spacing w:line="360" w:lineRule="auto"/>
              <w:rPr>
                <w:rStyle w:val="Hyperlink"/>
                <w:rFonts w:eastAsia="Times New Roman"/>
                <w:color w:val="146194"/>
              </w:rPr>
            </w:pPr>
            <w:hyperlink w:anchor="_Confirmation_of_Ordering" w:history="1">
              <w:r>
                <w:rPr>
                  <w:rStyle w:val="Hyperlink"/>
                  <w:rFonts w:eastAsia="Times New Roman"/>
                </w:rPr>
                <w:t>Confirmation of Ordering Sites</w:t>
              </w:r>
            </w:hyperlink>
          </w:p>
          <w:p w:rsidR="00F75D3E" w:rsidRDefault="00F75D3E" w:rsidP="00F62138">
            <w:pPr>
              <w:numPr>
                <w:ilvl w:val="0"/>
                <w:numId w:val="1"/>
              </w:numPr>
              <w:spacing w:line="360" w:lineRule="auto"/>
              <w:rPr>
                <w:rStyle w:val="Hyperlink"/>
                <w:rFonts w:eastAsia="Times New Roman"/>
              </w:rPr>
            </w:pPr>
            <w:hyperlink w:anchor="_First_Deliveries" w:history="1">
              <w:r>
                <w:rPr>
                  <w:rStyle w:val="Hyperlink"/>
                  <w:rFonts w:eastAsia="Times New Roman"/>
                </w:rPr>
                <w:t>First Deliveries</w:t>
              </w:r>
            </w:hyperlink>
          </w:p>
          <w:p w:rsidR="00F75D3E" w:rsidRDefault="00F75D3E" w:rsidP="00F62138">
            <w:pPr>
              <w:numPr>
                <w:ilvl w:val="0"/>
                <w:numId w:val="1"/>
              </w:numPr>
              <w:spacing w:line="360" w:lineRule="auto"/>
              <w:rPr>
                <w:rStyle w:val="Hyperlink"/>
                <w:rFonts w:eastAsia="Times New Roman"/>
              </w:rPr>
            </w:pPr>
            <w:hyperlink w:anchor="_Movianto_Update" w:history="1">
              <w:proofErr w:type="spellStart"/>
              <w:r>
                <w:rPr>
                  <w:rStyle w:val="Hyperlink"/>
                  <w:rFonts w:eastAsia="Times New Roman"/>
                </w:rPr>
                <w:t>Movianto</w:t>
              </w:r>
              <w:proofErr w:type="spellEnd"/>
              <w:r>
                <w:rPr>
                  <w:rStyle w:val="Hyperlink"/>
                  <w:rFonts w:eastAsia="Times New Roman"/>
                </w:rPr>
                <w:t xml:space="preserve"> Update</w:t>
              </w:r>
            </w:hyperlink>
          </w:p>
          <w:p w:rsidR="00F75D3E" w:rsidRDefault="00F75D3E" w:rsidP="00F62138">
            <w:pPr>
              <w:numPr>
                <w:ilvl w:val="0"/>
                <w:numId w:val="1"/>
              </w:numPr>
              <w:spacing w:line="360" w:lineRule="auto"/>
              <w:rPr>
                <w:color w:val="052F61"/>
              </w:rPr>
            </w:pPr>
            <w:hyperlink w:anchor="_And_finally..." w:history="1">
              <w:r>
                <w:rPr>
                  <w:rStyle w:val="Hyperlink"/>
                  <w:rFonts w:eastAsia="Times New Roman"/>
                </w:rPr>
                <w:t>And finally...</w:t>
              </w:r>
            </w:hyperlink>
          </w:p>
        </w:tc>
      </w:tr>
      <w:tr w:rsidR="00F75D3E" w:rsidTr="00F75D3E">
        <w:tc>
          <w:tcPr>
            <w:tcW w:w="331"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c>
          <w:tcPr>
            <w:tcW w:w="9121"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bl>
    <w:p w:rsidR="00F75D3E" w:rsidRDefault="00F75D3E" w:rsidP="00F75D3E">
      <w:bookmarkStart w:id="0" w:name="_Title"/>
      <w:bookmarkStart w:id="1" w:name="_Change_to_vesting"/>
      <w:bookmarkStart w:id="2" w:name="_Titles_should_be"/>
      <w:bookmarkStart w:id="3" w:name="_Reminder_of_changes"/>
      <w:bookmarkEnd w:id="0"/>
      <w:bookmarkEnd w:id="1"/>
      <w:bookmarkEnd w:id="2"/>
      <w:bookmarkEnd w:id="3"/>
    </w:p>
    <w:tbl>
      <w:tblPr>
        <w:tblW w:w="10614" w:type="dxa"/>
        <w:tblInd w:w="108" w:type="dxa"/>
        <w:tblCellMar>
          <w:left w:w="0" w:type="dxa"/>
          <w:right w:w="0" w:type="dxa"/>
        </w:tblCellMar>
        <w:tblLook w:val="04A0"/>
      </w:tblPr>
      <w:tblGrid>
        <w:gridCol w:w="10614"/>
      </w:tblGrid>
      <w:tr w:rsidR="00F75D3E" w:rsidTr="00F75D3E">
        <w:trPr>
          <w:trHeight w:val="1648"/>
        </w:trPr>
        <w:tc>
          <w:tcPr>
            <w:tcW w:w="10614" w:type="dxa"/>
            <w:tcBorders>
              <w:top w:val="single" w:sz="18" w:space="0" w:color="0698D6"/>
              <w:left w:val="nil"/>
              <w:bottom w:val="nil"/>
              <w:right w:val="nil"/>
            </w:tcBorders>
            <w:tcMar>
              <w:top w:w="0" w:type="dxa"/>
              <w:left w:w="108" w:type="dxa"/>
              <w:bottom w:w="0" w:type="dxa"/>
              <w:right w:w="108" w:type="dxa"/>
            </w:tcMar>
            <w:hideMark/>
          </w:tcPr>
          <w:p w:rsidR="00F75D3E" w:rsidRDefault="00F75D3E">
            <w:pPr>
              <w:pStyle w:val="Heading1"/>
              <w:spacing w:line="360" w:lineRule="auto"/>
              <w:rPr>
                <w:rFonts w:eastAsia="Times New Roman"/>
                <w:b w:val="0"/>
                <w:bCs w:val="0"/>
                <w:color w:val="F39200"/>
              </w:rPr>
            </w:pPr>
            <w:bookmarkStart w:id="4" w:name="_Updating_TURAS_Appraisal"/>
            <w:bookmarkStart w:id="5" w:name="_Your_new_Staff"/>
            <w:bookmarkStart w:id="6" w:name="_Message_from_Chief"/>
            <w:bookmarkStart w:id="7" w:name="welcome"/>
            <w:bookmarkEnd w:id="4"/>
            <w:bookmarkEnd w:id="5"/>
            <w:bookmarkEnd w:id="6"/>
            <w:r>
              <w:rPr>
                <w:rFonts w:eastAsia="Times New Roman"/>
                <w:color w:val="F39200"/>
              </w:rPr>
              <w:t>Welcome</w:t>
            </w:r>
            <w:bookmarkEnd w:id="7"/>
          </w:p>
          <w:p w:rsidR="00F75D3E" w:rsidRDefault="00F75D3E">
            <w:pPr>
              <w:spacing w:line="360" w:lineRule="auto"/>
            </w:pPr>
            <w:r>
              <w:rPr>
                <w:color w:val="000000"/>
              </w:rPr>
              <w:t>This e-newsletter is the first in a series of communications to help keep health boards up to date with the adult flu vaccine distribution arrangements for 2020/21. Please pass this update to interested stakeholders within your board.</w:t>
            </w:r>
          </w:p>
        </w:tc>
      </w:tr>
    </w:tbl>
    <w:p w:rsidR="00F75D3E" w:rsidRDefault="00F75D3E" w:rsidP="00F75D3E"/>
    <w:tbl>
      <w:tblPr>
        <w:tblW w:w="10614" w:type="dxa"/>
        <w:tblInd w:w="108" w:type="dxa"/>
        <w:tblCellMar>
          <w:left w:w="0" w:type="dxa"/>
          <w:right w:w="0" w:type="dxa"/>
        </w:tblCellMar>
        <w:tblLook w:val="04A0"/>
      </w:tblPr>
      <w:tblGrid>
        <w:gridCol w:w="10614"/>
      </w:tblGrid>
      <w:tr w:rsidR="00F75D3E" w:rsidTr="00F75D3E">
        <w:trPr>
          <w:trHeight w:val="1648"/>
        </w:trPr>
        <w:tc>
          <w:tcPr>
            <w:tcW w:w="10614" w:type="dxa"/>
            <w:tcBorders>
              <w:top w:val="single" w:sz="18" w:space="0" w:color="0698D6"/>
              <w:left w:val="nil"/>
              <w:bottom w:val="nil"/>
              <w:right w:val="nil"/>
            </w:tcBorders>
            <w:tcMar>
              <w:top w:w="0" w:type="dxa"/>
              <w:left w:w="108" w:type="dxa"/>
              <w:bottom w:w="0" w:type="dxa"/>
              <w:right w:w="108" w:type="dxa"/>
            </w:tcMar>
          </w:tcPr>
          <w:p w:rsidR="00F75D3E" w:rsidRDefault="00F75D3E">
            <w:pPr>
              <w:pStyle w:val="Heading1"/>
              <w:spacing w:line="360" w:lineRule="auto"/>
              <w:rPr>
                <w:rFonts w:eastAsia="Times New Roman"/>
                <w:color w:val="F39200"/>
              </w:rPr>
            </w:pPr>
            <w:bookmarkStart w:id="8" w:name="_Vital_delivery_thanks"/>
            <w:bookmarkStart w:id="9" w:name="vaccines"/>
            <w:bookmarkEnd w:id="8"/>
            <w:r>
              <w:rPr>
                <w:rFonts w:eastAsia="Times New Roman"/>
                <w:color w:val="F39200"/>
              </w:rPr>
              <w:lastRenderedPageBreak/>
              <w:t>2020/2021 Vaccines</w:t>
            </w:r>
            <w:bookmarkEnd w:id="9"/>
          </w:p>
          <w:p w:rsidR="00F75D3E" w:rsidRDefault="00F75D3E">
            <w:pPr>
              <w:pStyle w:val="BodyText1"/>
              <w:spacing w:line="360" w:lineRule="auto"/>
              <w:rPr>
                <w:sz w:val="22"/>
                <w:szCs w:val="22"/>
                <w:lang w:eastAsia="en-US"/>
              </w:rPr>
            </w:pPr>
            <w:r>
              <w:rPr>
                <w:sz w:val="22"/>
                <w:szCs w:val="22"/>
                <w:lang w:eastAsia="en-US"/>
              </w:rPr>
              <w:t>The JCVI vaccine recommendations for 2020/2021 influenza can be found here:</w:t>
            </w:r>
          </w:p>
          <w:p w:rsidR="00F75D3E" w:rsidRDefault="00F75D3E">
            <w:pPr>
              <w:pStyle w:val="BodyText1"/>
              <w:spacing w:line="360" w:lineRule="auto"/>
              <w:rPr>
                <w:sz w:val="22"/>
                <w:szCs w:val="22"/>
                <w:lang w:eastAsia="en-US"/>
              </w:rPr>
            </w:pPr>
            <w:hyperlink r:id="rId7" w:history="1">
              <w:proofErr w:type="gramStart"/>
              <w:r>
                <w:rPr>
                  <w:rStyle w:val="Hyperlink"/>
                  <w:sz w:val="22"/>
                  <w:szCs w:val="22"/>
                </w:rPr>
                <w:t>BLOCKEDapp[</w:t>
              </w:r>
              <w:proofErr w:type="gramEnd"/>
              <w:r>
                <w:rPr>
                  <w:rStyle w:val="Hyperlink"/>
                  <w:sz w:val="22"/>
                  <w:szCs w:val="22"/>
                </w:rPr>
                <w:t>.]</w:t>
              </w:r>
              <w:proofErr w:type="gramStart"/>
              <w:r>
                <w:rPr>
                  <w:rStyle w:val="Hyperlink"/>
                  <w:sz w:val="22"/>
                  <w:szCs w:val="22"/>
                </w:rPr>
                <w:t>box[</w:t>
              </w:r>
              <w:proofErr w:type="gramEnd"/>
              <w:r>
                <w:rPr>
                  <w:rStyle w:val="Hyperlink"/>
                  <w:sz w:val="22"/>
                  <w:szCs w:val="22"/>
                </w:rPr>
                <w:t>.]com/s/t5ockz9bb6xw6t2mrrzb144njplimfo0/file/529004924372BLOCKED</w:t>
              </w:r>
            </w:hyperlink>
            <w:r>
              <w:rPr>
                <w:sz w:val="22"/>
                <w:szCs w:val="22"/>
                <w:lang w:eastAsia="en-US"/>
              </w:rPr>
              <w:t xml:space="preserve"> </w:t>
            </w:r>
          </w:p>
          <w:p w:rsidR="00F75D3E" w:rsidRDefault="00F75D3E">
            <w:pPr>
              <w:pStyle w:val="BodyText1"/>
              <w:spacing w:line="360" w:lineRule="auto"/>
              <w:rPr>
                <w:sz w:val="22"/>
                <w:szCs w:val="22"/>
                <w:lang w:eastAsia="en-US"/>
              </w:rPr>
            </w:pPr>
            <w:r>
              <w:rPr>
                <w:sz w:val="22"/>
                <w:szCs w:val="22"/>
                <w:lang w:eastAsia="en-US"/>
              </w:rPr>
              <w:t>The vaccines procured for the NHS Scotland adult flu programme are as follows:</w:t>
            </w:r>
          </w:p>
          <w:tbl>
            <w:tblPr>
              <w:tblpPr w:leftFromText="180" w:rightFromText="180" w:vertAnchor="text"/>
              <w:tblW w:w="9844" w:type="dxa"/>
              <w:tblCellMar>
                <w:left w:w="0" w:type="dxa"/>
                <w:right w:w="0" w:type="dxa"/>
              </w:tblCellMar>
              <w:tblLook w:val="04A0"/>
            </w:tblPr>
            <w:tblGrid>
              <w:gridCol w:w="4139"/>
              <w:gridCol w:w="5705"/>
            </w:tblGrid>
            <w:tr w:rsidR="00F75D3E">
              <w:trPr>
                <w:trHeight w:val="183"/>
              </w:trPr>
              <w:tc>
                <w:tcPr>
                  <w:tcW w:w="4139" w:type="dxa"/>
                  <w:tcBorders>
                    <w:top w:val="single" w:sz="8" w:space="0" w:color="F4B084"/>
                    <w:left w:val="single" w:sz="8" w:space="0" w:color="F4B084"/>
                    <w:bottom w:val="single" w:sz="8" w:space="0" w:color="F4B084"/>
                    <w:right w:val="single" w:sz="8" w:space="0" w:color="F4B084"/>
                  </w:tcBorders>
                  <w:shd w:val="clear" w:color="auto" w:fill="ED7D31"/>
                  <w:noWrap/>
                  <w:tcMar>
                    <w:top w:w="0" w:type="dxa"/>
                    <w:left w:w="108" w:type="dxa"/>
                    <w:bottom w:w="0" w:type="dxa"/>
                    <w:right w:w="108" w:type="dxa"/>
                  </w:tcMar>
                  <w:vAlign w:val="bottom"/>
                  <w:hideMark/>
                </w:tcPr>
                <w:p w:rsidR="00F75D3E" w:rsidRDefault="00F75D3E">
                  <w:pPr>
                    <w:spacing w:line="183" w:lineRule="atLeast"/>
                    <w:rPr>
                      <w:b/>
                      <w:bCs/>
                      <w:color w:val="FFFFFF"/>
                      <w:lang w:eastAsia="en-GB"/>
                    </w:rPr>
                  </w:pPr>
                  <w:r>
                    <w:rPr>
                      <w:b/>
                      <w:bCs/>
                      <w:color w:val="FFFFFF"/>
                      <w:lang w:eastAsia="en-GB"/>
                    </w:rPr>
                    <w:t>Patient Cohort</w:t>
                  </w:r>
                </w:p>
              </w:tc>
              <w:tc>
                <w:tcPr>
                  <w:tcW w:w="5705" w:type="dxa"/>
                  <w:tcBorders>
                    <w:top w:val="single" w:sz="8" w:space="0" w:color="F4B084"/>
                    <w:left w:val="nil"/>
                    <w:bottom w:val="single" w:sz="8" w:space="0" w:color="F4B084"/>
                    <w:right w:val="single" w:sz="8" w:space="0" w:color="F4B084"/>
                  </w:tcBorders>
                  <w:shd w:val="clear" w:color="auto" w:fill="ED7D31"/>
                  <w:noWrap/>
                  <w:tcMar>
                    <w:top w:w="0" w:type="dxa"/>
                    <w:left w:w="108" w:type="dxa"/>
                    <w:bottom w:w="0" w:type="dxa"/>
                    <w:right w:w="108" w:type="dxa"/>
                  </w:tcMar>
                  <w:vAlign w:val="bottom"/>
                  <w:hideMark/>
                </w:tcPr>
                <w:p w:rsidR="00F75D3E" w:rsidRDefault="00F75D3E">
                  <w:pPr>
                    <w:spacing w:line="183" w:lineRule="atLeast"/>
                    <w:rPr>
                      <w:b/>
                      <w:bCs/>
                      <w:color w:val="FFFFFF"/>
                      <w:lang w:eastAsia="en-GB"/>
                    </w:rPr>
                  </w:pPr>
                  <w:r>
                    <w:rPr>
                      <w:b/>
                      <w:bCs/>
                      <w:color w:val="FFFFFF"/>
                      <w:lang w:eastAsia="en-GB"/>
                    </w:rPr>
                    <w:t>Vaccine</w:t>
                  </w:r>
                </w:p>
              </w:tc>
            </w:tr>
            <w:tr w:rsidR="00F75D3E">
              <w:trPr>
                <w:trHeight w:val="567"/>
              </w:trPr>
              <w:tc>
                <w:tcPr>
                  <w:tcW w:w="4139" w:type="dxa"/>
                  <w:tcBorders>
                    <w:top w:val="nil"/>
                    <w:left w:val="single" w:sz="8" w:space="0" w:color="F4B084"/>
                    <w:bottom w:val="single" w:sz="8" w:space="0" w:color="F4B084"/>
                    <w:right w:val="single" w:sz="8" w:space="0" w:color="F4B084"/>
                  </w:tcBorders>
                  <w:shd w:val="clear" w:color="auto" w:fill="FCE4D6"/>
                  <w:noWrap/>
                  <w:tcMar>
                    <w:top w:w="0" w:type="dxa"/>
                    <w:left w:w="108" w:type="dxa"/>
                    <w:bottom w:w="0" w:type="dxa"/>
                    <w:right w:w="108" w:type="dxa"/>
                  </w:tcMar>
                  <w:vAlign w:val="center"/>
                  <w:hideMark/>
                </w:tcPr>
                <w:p w:rsidR="00F75D3E" w:rsidRDefault="00F75D3E">
                  <w:pPr>
                    <w:spacing w:line="240" w:lineRule="auto"/>
                    <w:rPr>
                      <w:color w:val="000000"/>
                      <w:lang w:eastAsia="en-GB"/>
                    </w:rPr>
                  </w:pPr>
                  <w:r>
                    <w:rPr>
                      <w:color w:val="000000"/>
                      <w:lang w:eastAsia="en-GB"/>
                    </w:rPr>
                    <w:t>Over 65</w:t>
                  </w:r>
                </w:p>
              </w:tc>
              <w:tc>
                <w:tcPr>
                  <w:tcW w:w="5705" w:type="dxa"/>
                  <w:tcBorders>
                    <w:top w:val="nil"/>
                    <w:left w:val="nil"/>
                    <w:bottom w:val="single" w:sz="8" w:space="0" w:color="F4B084"/>
                    <w:right w:val="single" w:sz="8" w:space="0" w:color="F4B084"/>
                  </w:tcBorders>
                  <w:shd w:val="clear" w:color="auto" w:fill="FCE4D6"/>
                  <w:tcMar>
                    <w:top w:w="0" w:type="dxa"/>
                    <w:left w:w="108" w:type="dxa"/>
                    <w:bottom w:w="0" w:type="dxa"/>
                    <w:right w:w="108" w:type="dxa"/>
                  </w:tcMar>
                  <w:vAlign w:val="center"/>
                  <w:hideMark/>
                </w:tcPr>
                <w:p w:rsidR="00F75D3E" w:rsidRDefault="00F75D3E">
                  <w:pPr>
                    <w:spacing w:line="240" w:lineRule="auto"/>
                    <w:rPr>
                      <w:color w:val="000000"/>
                      <w:lang w:eastAsia="en-GB"/>
                    </w:rPr>
                  </w:pPr>
                  <w:proofErr w:type="spellStart"/>
                  <w:r>
                    <w:rPr>
                      <w:color w:val="000000"/>
                      <w:lang w:eastAsia="en-GB"/>
                    </w:rPr>
                    <w:t>Adjuvanted</w:t>
                  </w:r>
                  <w:proofErr w:type="spellEnd"/>
                  <w:r>
                    <w:rPr>
                      <w:color w:val="000000"/>
                      <w:lang w:eastAsia="en-GB"/>
                    </w:rPr>
                    <w:t xml:space="preserve"> trivalent influenza vaccine (</w:t>
                  </w:r>
                  <w:proofErr w:type="spellStart"/>
                  <w:r>
                    <w:rPr>
                      <w:color w:val="000000"/>
                      <w:lang w:eastAsia="en-GB"/>
                    </w:rPr>
                    <w:t>aTIV</w:t>
                  </w:r>
                  <w:proofErr w:type="spellEnd"/>
                  <w:r>
                    <w:rPr>
                      <w:color w:val="000000"/>
                      <w:lang w:eastAsia="en-GB"/>
                    </w:rPr>
                    <w:t>)</w:t>
                  </w:r>
                </w:p>
              </w:tc>
            </w:tr>
            <w:tr w:rsidR="00F75D3E">
              <w:trPr>
                <w:trHeight w:val="445"/>
              </w:trPr>
              <w:tc>
                <w:tcPr>
                  <w:tcW w:w="4139" w:type="dxa"/>
                  <w:tcBorders>
                    <w:top w:val="nil"/>
                    <w:left w:val="single" w:sz="8" w:space="0" w:color="F4B084"/>
                    <w:bottom w:val="single" w:sz="8" w:space="0" w:color="F4B084"/>
                    <w:right w:val="single" w:sz="8" w:space="0" w:color="F4B084"/>
                  </w:tcBorders>
                  <w:tcMar>
                    <w:top w:w="0" w:type="dxa"/>
                    <w:left w:w="108" w:type="dxa"/>
                    <w:bottom w:w="0" w:type="dxa"/>
                    <w:right w:w="108" w:type="dxa"/>
                  </w:tcMar>
                  <w:vAlign w:val="center"/>
                  <w:hideMark/>
                </w:tcPr>
                <w:p w:rsidR="00F75D3E" w:rsidRDefault="00F75D3E">
                  <w:pPr>
                    <w:spacing w:line="240" w:lineRule="auto"/>
                    <w:rPr>
                      <w:color w:val="000000"/>
                      <w:lang w:eastAsia="en-GB"/>
                    </w:rPr>
                  </w:pPr>
                  <w:r>
                    <w:rPr>
                      <w:color w:val="000000"/>
                      <w:lang w:eastAsia="en-GB"/>
                    </w:rPr>
                    <w:t>At risk persons aged 18 to 64, including pregnant women, HCW and Social Care workers</w:t>
                  </w:r>
                </w:p>
              </w:tc>
              <w:tc>
                <w:tcPr>
                  <w:tcW w:w="5705" w:type="dxa"/>
                  <w:tcBorders>
                    <w:top w:val="nil"/>
                    <w:left w:val="nil"/>
                    <w:bottom w:val="single" w:sz="8" w:space="0" w:color="F4B084"/>
                    <w:right w:val="single" w:sz="8" w:space="0" w:color="F4B084"/>
                  </w:tcBorders>
                  <w:tcMar>
                    <w:top w:w="0" w:type="dxa"/>
                    <w:left w:w="108" w:type="dxa"/>
                    <w:bottom w:w="0" w:type="dxa"/>
                    <w:right w:w="108" w:type="dxa"/>
                  </w:tcMar>
                  <w:vAlign w:val="center"/>
                  <w:hideMark/>
                </w:tcPr>
                <w:p w:rsidR="00F75D3E" w:rsidRDefault="00F75D3E">
                  <w:pPr>
                    <w:spacing w:line="240" w:lineRule="auto"/>
                    <w:rPr>
                      <w:color w:val="000000"/>
                      <w:lang w:eastAsia="en-GB"/>
                    </w:rPr>
                  </w:pPr>
                  <w:proofErr w:type="spellStart"/>
                  <w:r>
                    <w:rPr>
                      <w:color w:val="000000"/>
                      <w:lang w:eastAsia="en-GB"/>
                    </w:rPr>
                    <w:t>Quadrivalent</w:t>
                  </w:r>
                  <w:proofErr w:type="spellEnd"/>
                  <w:r>
                    <w:rPr>
                      <w:color w:val="000000"/>
                      <w:lang w:eastAsia="en-GB"/>
                    </w:rPr>
                    <w:t xml:space="preserve"> influenza cell culture-based vaccine (</w:t>
                  </w:r>
                  <w:proofErr w:type="spellStart"/>
                  <w:r>
                    <w:rPr>
                      <w:color w:val="000000"/>
                      <w:lang w:eastAsia="en-GB"/>
                    </w:rPr>
                    <w:t>QIVc</w:t>
                  </w:r>
                  <w:proofErr w:type="spellEnd"/>
                  <w:r>
                    <w:rPr>
                      <w:color w:val="000000"/>
                      <w:lang w:eastAsia="en-GB"/>
                    </w:rPr>
                    <w:t>)</w:t>
                  </w:r>
                </w:p>
              </w:tc>
            </w:tr>
            <w:tr w:rsidR="00F75D3E">
              <w:trPr>
                <w:trHeight w:val="670"/>
              </w:trPr>
              <w:tc>
                <w:tcPr>
                  <w:tcW w:w="4139" w:type="dxa"/>
                  <w:tcBorders>
                    <w:top w:val="nil"/>
                    <w:left w:val="single" w:sz="8" w:space="0" w:color="F4B084"/>
                    <w:bottom w:val="single" w:sz="8" w:space="0" w:color="F4B084"/>
                    <w:right w:val="single" w:sz="8" w:space="0" w:color="F4B084"/>
                  </w:tcBorders>
                  <w:shd w:val="clear" w:color="auto" w:fill="FCE4D6"/>
                  <w:tcMar>
                    <w:top w:w="0" w:type="dxa"/>
                    <w:left w:w="108" w:type="dxa"/>
                    <w:bottom w:w="0" w:type="dxa"/>
                    <w:right w:w="108" w:type="dxa"/>
                  </w:tcMar>
                  <w:vAlign w:val="center"/>
                  <w:hideMark/>
                </w:tcPr>
                <w:p w:rsidR="00F75D3E" w:rsidRDefault="00F75D3E">
                  <w:pPr>
                    <w:spacing w:line="240" w:lineRule="auto"/>
                    <w:rPr>
                      <w:color w:val="000000"/>
                      <w:lang w:eastAsia="en-GB"/>
                    </w:rPr>
                  </w:pPr>
                  <w:r>
                    <w:rPr>
                      <w:color w:val="000000"/>
                      <w:lang w:eastAsia="en-GB"/>
                    </w:rPr>
                    <w:t>Children aged 6 months to 9 years, and  children with contraindications to the live attenuated nasal spray influenza vaccine</w:t>
                  </w:r>
                </w:p>
              </w:tc>
              <w:tc>
                <w:tcPr>
                  <w:tcW w:w="5705" w:type="dxa"/>
                  <w:tcBorders>
                    <w:top w:val="nil"/>
                    <w:left w:val="nil"/>
                    <w:bottom w:val="single" w:sz="8" w:space="0" w:color="F4B084"/>
                    <w:right w:val="single" w:sz="8" w:space="0" w:color="F4B084"/>
                  </w:tcBorders>
                  <w:shd w:val="clear" w:color="auto" w:fill="FCE4D6"/>
                  <w:tcMar>
                    <w:top w:w="0" w:type="dxa"/>
                    <w:left w:w="108" w:type="dxa"/>
                    <w:bottom w:w="0" w:type="dxa"/>
                    <w:right w:w="108" w:type="dxa"/>
                  </w:tcMar>
                  <w:vAlign w:val="center"/>
                  <w:hideMark/>
                </w:tcPr>
                <w:p w:rsidR="00F75D3E" w:rsidRDefault="00F75D3E">
                  <w:pPr>
                    <w:spacing w:line="240" w:lineRule="auto"/>
                    <w:rPr>
                      <w:color w:val="000000"/>
                      <w:lang w:eastAsia="en-GB"/>
                    </w:rPr>
                  </w:pPr>
                  <w:proofErr w:type="spellStart"/>
                  <w:r>
                    <w:rPr>
                      <w:color w:val="000000"/>
                      <w:lang w:eastAsia="en-GB"/>
                    </w:rPr>
                    <w:t>Quadrivalent</w:t>
                  </w:r>
                  <w:proofErr w:type="spellEnd"/>
                  <w:r>
                    <w:rPr>
                      <w:color w:val="000000"/>
                      <w:lang w:eastAsia="en-GB"/>
                    </w:rPr>
                    <w:t xml:space="preserve"> influenza egg-based vaccine (</w:t>
                  </w:r>
                  <w:proofErr w:type="spellStart"/>
                  <w:r>
                    <w:rPr>
                      <w:color w:val="000000"/>
                      <w:lang w:eastAsia="en-GB"/>
                    </w:rPr>
                    <w:t>QIVe</w:t>
                  </w:r>
                  <w:proofErr w:type="spellEnd"/>
                  <w:r>
                    <w:rPr>
                      <w:color w:val="000000"/>
                      <w:lang w:eastAsia="en-GB"/>
                    </w:rPr>
                    <w:t>)</w:t>
                  </w:r>
                </w:p>
              </w:tc>
            </w:tr>
          </w:tbl>
          <w:p w:rsidR="00F75D3E" w:rsidRDefault="00F75D3E">
            <w:pPr>
              <w:pStyle w:val="BodyText1"/>
              <w:spacing w:before="120" w:line="360" w:lineRule="auto"/>
              <w:rPr>
                <w:sz w:val="22"/>
                <w:szCs w:val="22"/>
                <w:lang w:eastAsia="en-US"/>
              </w:rPr>
            </w:pPr>
          </w:p>
          <w:p w:rsidR="00F75D3E" w:rsidRDefault="00F75D3E">
            <w:pPr>
              <w:pStyle w:val="BodyText1"/>
              <w:spacing w:line="360" w:lineRule="auto"/>
              <w:rPr>
                <w:sz w:val="22"/>
                <w:szCs w:val="22"/>
                <w:lang w:eastAsia="en-US"/>
              </w:rPr>
            </w:pPr>
            <w:r>
              <w:rPr>
                <w:sz w:val="22"/>
                <w:szCs w:val="22"/>
                <w:lang w:eastAsia="en-US"/>
              </w:rPr>
              <w:t xml:space="preserve">Further advice is awaited with regards expansion of the flu programme to include persons aged 55-64 who would not ordinarily fall within the 18-64 ‘at-risk’ cohort.  Details relating to vaccines for this cohort will be provided in due course. </w:t>
            </w:r>
          </w:p>
          <w:p w:rsidR="00F75D3E" w:rsidRDefault="00F75D3E">
            <w:pPr>
              <w:pStyle w:val="BodyText1"/>
              <w:spacing w:line="360" w:lineRule="auto"/>
              <w:rPr>
                <w:sz w:val="22"/>
                <w:szCs w:val="22"/>
                <w:lang w:eastAsia="en-US"/>
              </w:rPr>
            </w:pPr>
          </w:p>
          <w:p w:rsidR="00F75D3E" w:rsidRDefault="00F75D3E">
            <w:pPr>
              <w:pStyle w:val="BodyText1"/>
              <w:spacing w:line="360" w:lineRule="auto"/>
              <w:rPr>
                <w:sz w:val="22"/>
                <w:szCs w:val="22"/>
                <w:lang w:eastAsia="en-US"/>
              </w:rPr>
            </w:pPr>
            <w:r>
              <w:rPr>
                <w:sz w:val="22"/>
                <w:szCs w:val="22"/>
                <w:lang w:eastAsia="en-US"/>
              </w:rPr>
              <w:t>Please note that separate ordering and distribution arrangements are in place for the nasal spray vaccine for the childhood flu programme.  Details will be communicated via Public Health Scotland as they become available</w:t>
            </w:r>
          </w:p>
        </w:tc>
      </w:tr>
    </w:tbl>
    <w:p w:rsidR="00F75D3E" w:rsidRDefault="00F75D3E" w:rsidP="00F75D3E">
      <w:pPr>
        <w:pStyle w:val="BodyText1"/>
        <w:ind w:left="284" w:hanging="284"/>
        <w:rPr>
          <w:sz w:val="22"/>
          <w:szCs w:val="22"/>
          <w:lang w:eastAsia="en-US"/>
        </w:rPr>
      </w:pPr>
      <w:bookmarkStart w:id="10" w:name="_Legislative_consultation"/>
      <w:bookmarkStart w:id="11" w:name="_Using_the_self"/>
      <w:bookmarkStart w:id="12" w:name="_Get_your_records"/>
      <w:bookmarkEnd w:id="10"/>
      <w:bookmarkEnd w:id="11"/>
      <w:bookmarkEnd w:id="12"/>
    </w:p>
    <w:tbl>
      <w:tblPr>
        <w:tblW w:w="10614" w:type="dxa"/>
        <w:tblInd w:w="108" w:type="dxa"/>
        <w:tblCellMar>
          <w:left w:w="0" w:type="dxa"/>
          <w:right w:w="0" w:type="dxa"/>
        </w:tblCellMar>
        <w:tblLook w:val="04A0"/>
      </w:tblPr>
      <w:tblGrid>
        <w:gridCol w:w="10614"/>
      </w:tblGrid>
      <w:tr w:rsidR="00F75D3E" w:rsidTr="00F75D3E">
        <w:trPr>
          <w:trHeight w:val="1648"/>
        </w:trPr>
        <w:tc>
          <w:tcPr>
            <w:tcW w:w="10614" w:type="dxa"/>
            <w:tcBorders>
              <w:top w:val="single" w:sz="18" w:space="0" w:color="0698D6"/>
              <w:left w:val="nil"/>
              <w:bottom w:val="nil"/>
              <w:right w:val="nil"/>
            </w:tcBorders>
            <w:tcMar>
              <w:top w:w="0" w:type="dxa"/>
              <w:left w:w="108" w:type="dxa"/>
              <w:bottom w:w="0" w:type="dxa"/>
              <w:right w:w="108" w:type="dxa"/>
            </w:tcMar>
          </w:tcPr>
          <w:p w:rsidR="00F75D3E" w:rsidRDefault="00F75D3E">
            <w:pPr>
              <w:pStyle w:val="Heading1"/>
              <w:spacing w:line="360" w:lineRule="auto"/>
              <w:rPr>
                <w:rFonts w:eastAsia="Times New Roman"/>
                <w:color w:val="F39200"/>
              </w:rPr>
            </w:pPr>
            <w:bookmarkStart w:id="13" w:name="_Excellence_Awards_2019"/>
            <w:bookmarkStart w:id="14" w:name="_Learning_and_Development"/>
            <w:bookmarkStart w:id="15" w:name="_Remembering_the_importance"/>
            <w:bookmarkStart w:id="16" w:name="_2020/2021_Ordering_Arrangements"/>
            <w:bookmarkEnd w:id="13"/>
            <w:bookmarkEnd w:id="14"/>
            <w:bookmarkEnd w:id="15"/>
            <w:bookmarkEnd w:id="16"/>
            <w:r>
              <w:rPr>
                <w:rFonts w:eastAsia="Times New Roman"/>
                <w:color w:val="F39200"/>
              </w:rPr>
              <w:t>Ordering Arrangements</w:t>
            </w:r>
          </w:p>
          <w:p w:rsidR="00F75D3E" w:rsidRDefault="00F75D3E">
            <w:pPr>
              <w:pStyle w:val="BodyText1"/>
              <w:spacing w:line="360" w:lineRule="auto"/>
              <w:rPr>
                <w:sz w:val="22"/>
                <w:szCs w:val="22"/>
                <w:lang w:eastAsia="en-US"/>
              </w:rPr>
            </w:pPr>
            <w:r>
              <w:rPr>
                <w:sz w:val="22"/>
                <w:szCs w:val="22"/>
                <w:lang w:eastAsia="en-US"/>
              </w:rPr>
              <w:t xml:space="preserve">As in previous seasons, orders for adult influenza vaccines should be raised via </w:t>
            </w:r>
            <w:proofErr w:type="spellStart"/>
            <w:r>
              <w:rPr>
                <w:sz w:val="22"/>
                <w:szCs w:val="22"/>
                <w:lang w:eastAsia="en-US"/>
              </w:rPr>
              <w:t>Movianto</w:t>
            </w:r>
            <w:proofErr w:type="spellEnd"/>
            <w:r>
              <w:rPr>
                <w:sz w:val="22"/>
                <w:szCs w:val="22"/>
                <w:lang w:eastAsia="en-US"/>
              </w:rPr>
              <w:t xml:space="preserve"> Marketplace.  A link to the site is included at the end of the newsletter.</w:t>
            </w:r>
          </w:p>
          <w:p w:rsidR="00F75D3E" w:rsidRDefault="00F75D3E">
            <w:pPr>
              <w:pStyle w:val="BodyText1"/>
              <w:spacing w:line="360" w:lineRule="auto"/>
              <w:rPr>
                <w:sz w:val="22"/>
                <w:szCs w:val="22"/>
                <w:lang w:eastAsia="en-US"/>
              </w:rPr>
            </w:pPr>
          </w:p>
          <w:p w:rsidR="00F75D3E" w:rsidRDefault="00F75D3E">
            <w:pPr>
              <w:pStyle w:val="BodyText1"/>
              <w:spacing w:line="360" w:lineRule="auto"/>
            </w:pPr>
            <w:r>
              <w:rPr>
                <w:sz w:val="22"/>
                <w:szCs w:val="22"/>
                <w:lang w:eastAsia="en-US"/>
              </w:rPr>
              <w:t>Allocations for each site will be in place again this year.  Details of the allocations will be shared with health boards for review in early August prior to the ordering window opening in late August.  All sites will be notified when ordering is open.</w:t>
            </w:r>
            <w:r>
              <w:t xml:space="preserve"> </w:t>
            </w:r>
          </w:p>
        </w:tc>
      </w:tr>
    </w:tbl>
    <w:p w:rsidR="00F75D3E" w:rsidRDefault="00F75D3E" w:rsidP="00F75D3E">
      <w:bookmarkStart w:id="17" w:name="_Islamophobia_Awareness_month"/>
      <w:bookmarkEnd w:id="17"/>
    </w:p>
    <w:tbl>
      <w:tblPr>
        <w:tblW w:w="10614" w:type="dxa"/>
        <w:tblInd w:w="108" w:type="dxa"/>
        <w:tblCellMar>
          <w:left w:w="0" w:type="dxa"/>
          <w:right w:w="0" w:type="dxa"/>
        </w:tblCellMar>
        <w:tblLook w:val="04A0"/>
      </w:tblPr>
      <w:tblGrid>
        <w:gridCol w:w="10614"/>
      </w:tblGrid>
      <w:tr w:rsidR="00F75D3E" w:rsidTr="00F75D3E">
        <w:trPr>
          <w:trHeight w:val="1257"/>
        </w:trPr>
        <w:tc>
          <w:tcPr>
            <w:tcW w:w="10614" w:type="dxa"/>
            <w:tcBorders>
              <w:top w:val="single" w:sz="18" w:space="0" w:color="0698D6"/>
              <w:left w:val="nil"/>
              <w:bottom w:val="nil"/>
              <w:right w:val="nil"/>
            </w:tcBorders>
            <w:tcMar>
              <w:top w:w="0" w:type="dxa"/>
              <w:left w:w="108" w:type="dxa"/>
              <w:bottom w:w="0" w:type="dxa"/>
              <w:right w:w="108" w:type="dxa"/>
            </w:tcMar>
            <w:hideMark/>
          </w:tcPr>
          <w:p w:rsidR="00F75D3E" w:rsidRDefault="00F75D3E">
            <w:pPr>
              <w:pStyle w:val="Heading1"/>
              <w:spacing w:line="360" w:lineRule="auto"/>
              <w:rPr>
                <w:rFonts w:eastAsia="Times New Roman"/>
                <w:color w:val="F39200"/>
              </w:rPr>
            </w:pPr>
            <w:bookmarkStart w:id="18" w:name="_2020_to_2021"/>
            <w:bookmarkStart w:id="19" w:name="_Confirmation_of_Ordering"/>
            <w:bookmarkEnd w:id="18"/>
            <w:bookmarkEnd w:id="19"/>
            <w:r>
              <w:rPr>
                <w:rFonts w:eastAsia="Times New Roman"/>
                <w:color w:val="F39200"/>
              </w:rPr>
              <w:lastRenderedPageBreak/>
              <w:t>Confirmation of Ordering Sites</w:t>
            </w:r>
          </w:p>
          <w:p w:rsidR="00F75D3E" w:rsidRDefault="00F75D3E">
            <w:pPr>
              <w:spacing w:line="360" w:lineRule="auto"/>
            </w:pPr>
            <w:r>
              <w:t xml:space="preserve">Once the proposed allocations for each site have been issued it will be necessary for boards to review the allocations and confirm they are appropriate.  The allocations will be based on the total number of vaccines ordered by each site during the 2019/20 season plus an additional 10% to allow for the expected increase in demand this season. </w:t>
            </w:r>
          </w:p>
          <w:p w:rsidR="00F75D3E" w:rsidRDefault="00F75D3E">
            <w:pPr>
              <w:pStyle w:val="Heading1"/>
              <w:spacing w:line="360" w:lineRule="auto"/>
              <w:rPr>
                <w:rFonts w:eastAsia="Times New Roman"/>
                <w:color w:val="F39200"/>
                <w:sz w:val="28"/>
                <w:szCs w:val="28"/>
              </w:rPr>
            </w:pPr>
            <w:r>
              <w:rPr>
                <w:rFonts w:eastAsia="Times New Roman"/>
                <w:color w:val="F39200"/>
                <w:sz w:val="28"/>
                <w:szCs w:val="28"/>
              </w:rPr>
              <w:t>GP Practices, Health Centres &amp; Community Hubs</w:t>
            </w:r>
          </w:p>
          <w:p w:rsidR="00F75D3E" w:rsidRDefault="00F75D3E">
            <w:pPr>
              <w:spacing w:line="360" w:lineRule="auto"/>
            </w:pPr>
            <w:r>
              <w:t xml:space="preserve">As part of this review it will be necessary for boards to provide final confirmation of the sites that will be responsible for placing orders e.g. where community hubs will be used to order on behalf of a number of GP practices. Further instructions will be issued along with the proposed allocations in early August. </w:t>
            </w:r>
          </w:p>
          <w:p w:rsidR="00F75D3E" w:rsidRDefault="00F75D3E">
            <w:pPr>
              <w:pStyle w:val="Heading1"/>
              <w:spacing w:line="360" w:lineRule="auto"/>
              <w:rPr>
                <w:rFonts w:eastAsia="Times New Roman"/>
                <w:color w:val="F39200"/>
                <w:sz w:val="28"/>
                <w:szCs w:val="28"/>
              </w:rPr>
            </w:pPr>
            <w:r>
              <w:rPr>
                <w:rFonts w:eastAsia="Times New Roman"/>
                <w:color w:val="F39200"/>
                <w:sz w:val="28"/>
                <w:szCs w:val="28"/>
              </w:rPr>
              <w:t>Community Pharmacies</w:t>
            </w:r>
          </w:p>
          <w:p w:rsidR="00F75D3E" w:rsidRDefault="00F75D3E">
            <w:pPr>
              <w:spacing w:line="360" w:lineRule="auto"/>
            </w:pPr>
            <w:r>
              <w:t xml:space="preserve">Boards planning to use community pharmacies this season will also need to inform National Procurement of the names and addresses of each pharmacy as well as the number of doses - by cohort - that each pharmacy will be able to access during the season.  </w:t>
            </w:r>
          </w:p>
          <w:p w:rsidR="00F75D3E" w:rsidRDefault="00F75D3E">
            <w:pPr>
              <w:pStyle w:val="Heading1"/>
              <w:spacing w:line="360" w:lineRule="auto"/>
              <w:rPr>
                <w:rFonts w:eastAsia="Times New Roman"/>
                <w:color w:val="F39200"/>
                <w:sz w:val="28"/>
                <w:szCs w:val="28"/>
              </w:rPr>
            </w:pPr>
            <w:r>
              <w:rPr>
                <w:rFonts w:eastAsia="Times New Roman"/>
                <w:color w:val="F39200"/>
                <w:sz w:val="28"/>
                <w:szCs w:val="28"/>
              </w:rPr>
              <w:t xml:space="preserve">Please note… </w:t>
            </w:r>
          </w:p>
          <w:p w:rsidR="00F75D3E" w:rsidRDefault="00F75D3E">
            <w:pPr>
              <w:pStyle w:val="BodyText1"/>
              <w:spacing w:line="360" w:lineRule="auto"/>
              <w:rPr>
                <w:sz w:val="22"/>
                <w:szCs w:val="22"/>
                <w:lang w:eastAsia="en-US"/>
              </w:rPr>
            </w:pPr>
            <w:r>
              <w:rPr>
                <w:sz w:val="22"/>
                <w:szCs w:val="22"/>
                <w:lang w:eastAsia="en-US"/>
              </w:rPr>
              <w:t>It is essential that as many sites as possible are confirmed prior to ordering opening as this will ensure a supply of vaccines is available in each board in time for the start of the 2020 campaign.</w:t>
            </w:r>
          </w:p>
        </w:tc>
      </w:tr>
    </w:tbl>
    <w:p w:rsidR="00F75D3E" w:rsidRDefault="00F75D3E" w:rsidP="00F75D3E">
      <w:pPr>
        <w:spacing w:line="360" w:lineRule="auto"/>
      </w:pPr>
      <w:bookmarkStart w:id="20" w:name="_Transgender_Day_of"/>
      <w:bookmarkStart w:id="21" w:name="_SCOTCAP_newsletter"/>
      <w:bookmarkEnd w:id="20"/>
      <w:bookmarkEnd w:id="21"/>
    </w:p>
    <w:tbl>
      <w:tblPr>
        <w:tblW w:w="10614" w:type="dxa"/>
        <w:tblInd w:w="108" w:type="dxa"/>
        <w:tblCellMar>
          <w:left w:w="0" w:type="dxa"/>
          <w:right w:w="0" w:type="dxa"/>
        </w:tblCellMar>
        <w:tblLook w:val="04A0"/>
      </w:tblPr>
      <w:tblGrid>
        <w:gridCol w:w="10614"/>
      </w:tblGrid>
      <w:tr w:rsidR="00F75D3E" w:rsidTr="00F75D3E">
        <w:trPr>
          <w:trHeight w:val="1648"/>
        </w:trPr>
        <w:tc>
          <w:tcPr>
            <w:tcW w:w="10614" w:type="dxa"/>
            <w:tcBorders>
              <w:top w:val="single" w:sz="18" w:space="0" w:color="0698D6"/>
              <w:left w:val="nil"/>
              <w:bottom w:val="nil"/>
              <w:right w:val="nil"/>
            </w:tcBorders>
            <w:tcMar>
              <w:top w:w="0" w:type="dxa"/>
              <w:left w:w="108" w:type="dxa"/>
              <w:bottom w:w="0" w:type="dxa"/>
              <w:right w:w="108" w:type="dxa"/>
            </w:tcMar>
          </w:tcPr>
          <w:p w:rsidR="00F75D3E" w:rsidRDefault="00F75D3E">
            <w:pPr>
              <w:pStyle w:val="Heading1"/>
              <w:rPr>
                <w:rFonts w:eastAsia="Times New Roman"/>
              </w:rPr>
            </w:pPr>
            <w:bookmarkStart w:id="22" w:name="_British_Sign_Language"/>
            <w:bookmarkStart w:id="23" w:name="_NSS_Integration_Team"/>
            <w:bookmarkStart w:id="24" w:name="_First_Deliveries"/>
            <w:bookmarkStart w:id="25" w:name="_You’ve_received_a"/>
            <w:bookmarkEnd w:id="22"/>
            <w:bookmarkEnd w:id="23"/>
            <w:bookmarkEnd w:id="24"/>
            <w:bookmarkEnd w:id="25"/>
            <w:r>
              <w:rPr>
                <w:rFonts w:eastAsia="Times New Roman"/>
                <w:color w:val="F39200"/>
              </w:rPr>
              <w:lastRenderedPageBreak/>
              <w:t>First Deliveries</w:t>
            </w:r>
          </w:p>
          <w:p w:rsidR="00F75D3E" w:rsidRDefault="00F75D3E">
            <w:pPr>
              <w:spacing w:line="360" w:lineRule="auto"/>
            </w:pPr>
            <w:r>
              <w:t>The first deliveries are planned for the weeks commencing 14 September and 21 September 2020.</w:t>
            </w:r>
          </w:p>
          <w:p w:rsidR="00F75D3E" w:rsidRDefault="00F75D3E">
            <w:pPr>
              <w:spacing w:line="360" w:lineRule="auto"/>
            </w:pPr>
          </w:p>
          <w:p w:rsidR="00F75D3E" w:rsidRDefault="00F75D3E">
            <w:pPr>
              <w:spacing w:line="360" w:lineRule="auto"/>
            </w:pPr>
            <w:r>
              <w:t xml:space="preserve">Due to concerns over social distancing measures impacting the allotted time per delivery, and given the high volume of vaccines likely to be delivered in the initial two weeks, </w:t>
            </w:r>
            <w:proofErr w:type="spellStart"/>
            <w:r>
              <w:t>Movianto</w:t>
            </w:r>
            <w:proofErr w:type="spellEnd"/>
            <w:r>
              <w:t xml:space="preserve"> will stagger the first deliveries.  This means that some boards will receive a delivery the week commencing 14 September and others will receive a delivery the week commencing 21 September.  Details are provided in the table below:</w:t>
            </w:r>
          </w:p>
          <w:tbl>
            <w:tblPr>
              <w:tblpPr w:leftFromText="180" w:rightFromText="180" w:vertAnchor="text"/>
              <w:tblW w:w="7579" w:type="dxa"/>
              <w:tblCellMar>
                <w:left w:w="0" w:type="dxa"/>
                <w:right w:w="0" w:type="dxa"/>
              </w:tblCellMar>
              <w:tblLook w:val="04A0"/>
            </w:tblPr>
            <w:tblGrid>
              <w:gridCol w:w="3077"/>
              <w:gridCol w:w="4502"/>
              <w:gridCol w:w="16"/>
            </w:tblGrid>
            <w:tr w:rsidR="00F75D3E">
              <w:trPr>
                <w:trHeight w:val="214"/>
              </w:trPr>
              <w:tc>
                <w:tcPr>
                  <w:tcW w:w="3077" w:type="dxa"/>
                  <w:tcBorders>
                    <w:top w:val="single" w:sz="8" w:space="0" w:color="F4B084"/>
                    <w:left w:val="single" w:sz="8" w:space="0" w:color="F4B084"/>
                    <w:bottom w:val="single" w:sz="8" w:space="0" w:color="F4B084"/>
                    <w:right w:val="single" w:sz="8" w:space="0" w:color="F4B084"/>
                  </w:tcBorders>
                  <w:shd w:val="clear" w:color="auto" w:fill="ED7D31"/>
                  <w:noWrap/>
                  <w:tcMar>
                    <w:top w:w="0" w:type="dxa"/>
                    <w:left w:w="108" w:type="dxa"/>
                    <w:bottom w:w="0" w:type="dxa"/>
                    <w:right w:w="108" w:type="dxa"/>
                  </w:tcMar>
                  <w:vAlign w:val="bottom"/>
                  <w:hideMark/>
                </w:tcPr>
                <w:p w:rsidR="00F75D3E" w:rsidRDefault="00F75D3E">
                  <w:pPr>
                    <w:spacing w:line="240" w:lineRule="auto"/>
                    <w:rPr>
                      <w:b/>
                      <w:bCs/>
                      <w:color w:val="FFFFFF"/>
                      <w:lang w:eastAsia="en-GB"/>
                    </w:rPr>
                  </w:pPr>
                  <w:r>
                    <w:rPr>
                      <w:b/>
                      <w:bCs/>
                      <w:color w:val="FFFFFF"/>
                      <w:lang w:eastAsia="en-GB"/>
                    </w:rPr>
                    <w:t>Week Commencing</w:t>
                  </w:r>
                </w:p>
              </w:tc>
              <w:tc>
                <w:tcPr>
                  <w:tcW w:w="4502" w:type="dxa"/>
                  <w:tcBorders>
                    <w:top w:val="single" w:sz="8" w:space="0" w:color="F4B084"/>
                    <w:left w:val="nil"/>
                    <w:bottom w:val="single" w:sz="8" w:space="0" w:color="F4B084"/>
                    <w:right w:val="single" w:sz="8" w:space="0" w:color="F4B084"/>
                  </w:tcBorders>
                  <w:shd w:val="clear" w:color="auto" w:fill="ED7D31"/>
                  <w:noWrap/>
                  <w:tcMar>
                    <w:top w:w="0" w:type="dxa"/>
                    <w:left w:w="108" w:type="dxa"/>
                    <w:bottom w:w="0" w:type="dxa"/>
                    <w:right w:w="108" w:type="dxa"/>
                  </w:tcMar>
                  <w:vAlign w:val="bottom"/>
                  <w:hideMark/>
                </w:tcPr>
                <w:p w:rsidR="00F75D3E" w:rsidRDefault="00F75D3E">
                  <w:pPr>
                    <w:spacing w:line="240" w:lineRule="auto"/>
                    <w:rPr>
                      <w:b/>
                      <w:bCs/>
                      <w:color w:val="FFFFFF"/>
                      <w:lang w:eastAsia="en-GB"/>
                    </w:rPr>
                  </w:pPr>
                  <w:r>
                    <w:rPr>
                      <w:b/>
                      <w:bCs/>
                      <w:color w:val="FFFFFF"/>
                      <w:lang w:eastAsia="en-GB"/>
                    </w:rPr>
                    <w:t>Health Boards</w:t>
                  </w: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253"/>
              </w:trPr>
              <w:tc>
                <w:tcPr>
                  <w:tcW w:w="3077" w:type="dxa"/>
                  <w:vMerge w:val="restart"/>
                  <w:tcBorders>
                    <w:top w:val="nil"/>
                    <w:left w:val="single" w:sz="8" w:space="0" w:color="F4B084"/>
                    <w:bottom w:val="single" w:sz="8" w:space="0" w:color="F4B084"/>
                    <w:right w:val="single" w:sz="8" w:space="0" w:color="F4B084"/>
                  </w:tcBorders>
                  <w:shd w:val="clear" w:color="auto" w:fill="FCE4D6"/>
                  <w:tcMar>
                    <w:top w:w="0" w:type="dxa"/>
                    <w:left w:w="108" w:type="dxa"/>
                    <w:bottom w:w="0" w:type="dxa"/>
                    <w:right w:w="108" w:type="dxa"/>
                  </w:tcMar>
                  <w:vAlign w:val="center"/>
                  <w:hideMark/>
                </w:tcPr>
                <w:p w:rsidR="00F75D3E" w:rsidRDefault="00F75D3E">
                  <w:pPr>
                    <w:spacing w:line="240" w:lineRule="auto"/>
                    <w:rPr>
                      <w:color w:val="000000"/>
                      <w:lang w:eastAsia="en-GB"/>
                    </w:rPr>
                  </w:pPr>
                  <w:r>
                    <w:rPr>
                      <w:color w:val="000000"/>
                      <w:lang w:eastAsia="en-GB"/>
                    </w:rPr>
                    <w:t xml:space="preserve">14 September 2020 </w:t>
                  </w:r>
                </w:p>
              </w:tc>
              <w:tc>
                <w:tcPr>
                  <w:tcW w:w="4502" w:type="dxa"/>
                  <w:vMerge w:val="restart"/>
                  <w:tcBorders>
                    <w:top w:val="nil"/>
                    <w:left w:val="nil"/>
                    <w:bottom w:val="single" w:sz="8" w:space="0" w:color="F4B084"/>
                    <w:right w:val="single" w:sz="8" w:space="0" w:color="F4B084"/>
                  </w:tcBorders>
                  <w:shd w:val="clear" w:color="auto" w:fill="FCE4D6"/>
                  <w:tcMar>
                    <w:top w:w="0" w:type="dxa"/>
                    <w:left w:w="108" w:type="dxa"/>
                    <w:bottom w:w="0" w:type="dxa"/>
                    <w:right w:w="108" w:type="dxa"/>
                  </w:tcMar>
                  <w:vAlign w:val="center"/>
                  <w:hideMark/>
                </w:tcPr>
                <w:p w:rsidR="00F75D3E" w:rsidRDefault="00F75D3E">
                  <w:pPr>
                    <w:spacing w:line="240" w:lineRule="auto"/>
                    <w:rPr>
                      <w:color w:val="000000"/>
                      <w:lang w:eastAsia="en-GB"/>
                    </w:rPr>
                  </w:pPr>
                  <w:r>
                    <w:rPr>
                      <w:color w:val="000000"/>
                      <w:lang w:eastAsia="en-GB"/>
                    </w:rPr>
                    <w:t>NHS Ayrshire and Arran</w:t>
                  </w:r>
                  <w:r>
                    <w:rPr>
                      <w:color w:val="000000"/>
                      <w:lang w:eastAsia="en-GB"/>
                    </w:rPr>
                    <w:br/>
                    <w:t>NHS Dumfries and Galloway</w:t>
                  </w:r>
                  <w:r>
                    <w:rPr>
                      <w:color w:val="000000"/>
                      <w:lang w:eastAsia="en-GB"/>
                    </w:rPr>
                    <w:br/>
                    <w:t>NHS Forth Valley</w:t>
                  </w:r>
                  <w:r>
                    <w:rPr>
                      <w:color w:val="000000"/>
                      <w:lang w:eastAsia="en-GB"/>
                    </w:rPr>
                    <w:br/>
                    <w:t>NHS Greater Glasgow and Clyde</w:t>
                  </w:r>
                  <w:r>
                    <w:rPr>
                      <w:color w:val="000000"/>
                      <w:lang w:eastAsia="en-GB"/>
                    </w:rPr>
                    <w:br/>
                    <w:t>NHS Lanarkshire</w:t>
                  </w:r>
                  <w:r>
                    <w:rPr>
                      <w:color w:val="000000"/>
                      <w:lang w:eastAsia="en-GB"/>
                    </w:rPr>
                    <w:br/>
                    <w:t>Scottish Ambulance Service</w:t>
                  </w: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253"/>
              </w:trPr>
              <w:tc>
                <w:tcPr>
                  <w:tcW w:w="0" w:type="auto"/>
                  <w:vMerge/>
                  <w:tcBorders>
                    <w:top w:val="nil"/>
                    <w:left w:val="single" w:sz="8" w:space="0" w:color="F4B084"/>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0" w:type="auto"/>
                  <w:vMerge/>
                  <w:tcBorders>
                    <w:top w:val="nil"/>
                    <w:left w:val="nil"/>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253"/>
              </w:trPr>
              <w:tc>
                <w:tcPr>
                  <w:tcW w:w="0" w:type="auto"/>
                  <w:vMerge/>
                  <w:tcBorders>
                    <w:top w:val="nil"/>
                    <w:left w:val="single" w:sz="8" w:space="0" w:color="F4B084"/>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0" w:type="auto"/>
                  <w:vMerge/>
                  <w:tcBorders>
                    <w:top w:val="nil"/>
                    <w:left w:val="nil"/>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253"/>
              </w:trPr>
              <w:tc>
                <w:tcPr>
                  <w:tcW w:w="0" w:type="auto"/>
                  <w:vMerge/>
                  <w:tcBorders>
                    <w:top w:val="nil"/>
                    <w:left w:val="single" w:sz="8" w:space="0" w:color="F4B084"/>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0" w:type="auto"/>
                  <w:vMerge/>
                  <w:tcBorders>
                    <w:top w:val="nil"/>
                    <w:left w:val="nil"/>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253"/>
              </w:trPr>
              <w:tc>
                <w:tcPr>
                  <w:tcW w:w="0" w:type="auto"/>
                  <w:vMerge/>
                  <w:tcBorders>
                    <w:top w:val="nil"/>
                    <w:left w:val="single" w:sz="8" w:space="0" w:color="F4B084"/>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0" w:type="auto"/>
                  <w:vMerge/>
                  <w:tcBorders>
                    <w:top w:val="nil"/>
                    <w:left w:val="nil"/>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477"/>
              </w:trPr>
              <w:tc>
                <w:tcPr>
                  <w:tcW w:w="0" w:type="auto"/>
                  <w:vMerge/>
                  <w:tcBorders>
                    <w:top w:val="nil"/>
                    <w:left w:val="single" w:sz="8" w:space="0" w:color="F4B084"/>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0" w:type="auto"/>
                  <w:vMerge/>
                  <w:tcBorders>
                    <w:top w:val="nil"/>
                    <w:left w:val="nil"/>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253"/>
              </w:trPr>
              <w:tc>
                <w:tcPr>
                  <w:tcW w:w="3077" w:type="dxa"/>
                  <w:vMerge w:val="restart"/>
                  <w:tcBorders>
                    <w:top w:val="nil"/>
                    <w:left w:val="single" w:sz="8" w:space="0" w:color="F4B084"/>
                    <w:bottom w:val="single" w:sz="8" w:space="0" w:color="F4B084"/>
                    <w:right w:val="single" w:sz="8" w:space="0" w:color="F4B084"/>
                  </w:tcBorders>
                  <w:tcMar>
                    <w:top w:w="0" w:type="dxa"/>
                    <w:left w:w="108" w:type="dxa"/>
                    <w:bottom w:w="0" w:type="dxa"/>
                    <w:right w:w="108" w:type="dxa"/>
                  </w:tcMar>
                  <w:vAlign w:val="center"/>
                  <w:hideMark/>
                </w:tcPr>
                <w:p w:rsidR="00F75D3E" w:rsidRDefault="00F75D3E">
                  <w:pPr>
                    <w:spacing w:line="240" w:lineRule="auto"/>
                    <w:rPr>
                      <w:color w:val="000000"/>
                      <w:lang w:eastAsia="en-GB"/>
                    </w:rPr>
                  </w:pPr>
                  <w:r>
                    <w:rPr>
                      <w:color w:val="000000"/>
                      <w:lang w:eastAsia="en-GB"/>
                    </w:rPr>
                    <w:t xml:space="preserve">21 September 2020 </w:t>
                  </w:r>
                </w:p>
              </w:tc>
              <w:tc>
                <w:tcPr>
                  <w:tcW w:w="4502" w:type="dxa"/>
                  <w:vMerge w:val="restart"/>
                  <w:tcBorders>
                    <w:top w:val="nil"/>
                    <w:left w:val="nil"/>
                    <w:bottom w:val="single" w:sz="8" w:space="0" w:color="F4B084"/>
                    <w:right w:val="single" w:sz="8" w:space="0" w:color="F4B084"/>
                  </w:tcBorders>
                  <w:tcMar>
                    <w:top w:w="0" w:type="dxa"/>
                    <w:left w:w="108" w:type="dxa"/>
                    <w:bottom w:w="0" w:type="dxa"/>
                    <w:right w:w="108" w:type="dxa"/>
                  </w:tcMar>
                  <w:vAlign w:val="center"/>
                  <w:hideMark/>
                </w:tcPr>
                <w:p w:rsidR="00F75D3E" w:rsidRDefault="00F75D3E">
                  <w:pPr>
                    <w:spacing w:line="240" w:lineRule="auto"/>
                    <w:rPr>
                      <w:color w:val="000000"/>
                      <w:lang w:eastAsia="en-GB"/>
                    </w:rPr>
                  </w:pPr>
                  <w:r>
                    <w:rPr>
                      <w:color w:val="000000"/>
                      <w:lang w:eastAsia="en-GB"/>
                    </w:rPr>
                    <w:t>NHS Fife</w:t>
                  </w:r>
                  <w:r>
                    <w:rPr>
                      <w:color w:val="000000"/>
                      <w:lang w:eastAsia="en-GB"/>
                    </w:rPr>
                    <w:br/>
                    <w:t>NHS Grampian</w:t>
                  </w:r>
                  <w:r>
                    <w:rPr>
                      <w:color w:val="000000"/>
                      <w:lang w:eastAsia="en-GB"/>
                    </w:rPr>
                    <w:br/>
                    <w:t>NHS Highland</w:t>
                  </w:r>
                  <w:r>
                    <w:rPr>
                      <w:color w:val="000000"/>
                      <w:lang w:eastAsia="en-GB"/>
                    </w:rPr>
                    <w:br/>
                    <w:t>NHS Lothian</w:t>
                  </w:r>
                  <w:r>
                    <w:rPr>
                      <w:color w:val="000000"/>
                      <w:lang w:eastAsia="en-GB"/>
                    </w:rPr>
                    <w:br/>
                    <w:t>NHS Orkney</w:t>
                  </w:r>
                  <w:r>
                    <w:rPr>
                      <w:color w:val="000000"/>
                      <w:lang w:eastAsia="en-GB"/>
                    </w:rPr>
                    <w:br/>
                    <w:t>NHS Shetland</w:t>
                  </w:r>
                  <w:r>
                    <w:rPr>
                      <w:color w:val="000000"/>
                      <w:lang w:eastAsia="en-GB"/>
                    </w:rPr>
                    <w:br/>
                    <w:t>NHS Tayside</w:t>
                  </w: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253"/>
              </w:trPr>
              <w:tc>
                <w:tcPr>
                  <w:tcW w:w="0" w:type="auto"/>
                  <w:vMerge/>
                  <w:tcBorders>
                    <w:top w:val="nil"/>
                    <w:left w:val="single" w:sz="8" w:space="0" w:color="F4B084"/>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0" w:type="auto"/>
                  <w:vMerge/>
                  <w:tcBorders>
                    <w:top w:val="nil"/>
                    <w:left w:val="nil"/>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253"/>
              </w:trPr>
              <w:tc>
                <w:tcPr>
                  <w:tcW w:w="0" w:type="auto"/>
                  <w:vMerge/>
                  <w:tcBorders>
                    <w:top w:val="nil"/>
                    <w:left w:val="single" w:sz="8" w:space="0" w:color="F4B084"/>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0" w:type="auto"/>
                  <w:vMerge/>
                  <w:tcBorders>
                    <w:top w:val="nil"/>
                    <w:left w:val="nil"/>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253"/>
              </w:trPr>
              <w:tc>
                <w:tcPr>
                  <w:tcW w:w="0" w:type="auto"/>
                  <w:vMerge/>
                  <w:tcBorders>
                    <w:top w:val="nil"/>
                    <w:left w:val="single" w:sz="8" w:space="0" w:color="F4B084"/>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0" w:type="auto"/>
                  <w:vMerge/>
                  <w:tcBorders>
                    <w:top w:val="nil"/>
                    <w:left w:val="nil"/>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253"/>
              </w:trPr>
              <w:tc>
                <w:tcPr>
                  <w:tcW w:w="0" w:type="auto"/>
                  <w:vMerge/>
                  <w:tcBorders>
                    <w:top w:val="nil"/>
                    <w:left w:val="single" w:sz="8" w:space="0" w:color="F4B084"/>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0" w:type="auto"/>
                  <w:vMerge/>
                  <w:tcBorders>
                    <w:top w:val="nil"/>
                    <w:left w:val="nil"/>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253"/>
              </w:trPr>
              <w:tc>
                <w:tcPr>
                  <w:tcW w:w="0" w:type="auto"/>
                  <w:vMerge/>
                  <w:tcBorders>
                    <w:top w:val="nil"/>
                    <w:left w:val="single" w:sz="8" w:space="0" w:color="F4B084"/>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0" w:type="auto"/>
                  <w:vMerge/>
                  <w:tcBorders>
                    <w:top w:val="nil"/>
                    <w:left w:val="nil"/>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402"/>
              </w:trPr>
              <w:tc>
                <w:tcPr>
                  <w:tcW w:w="0" w:type="auto"/>
                  <w:vMerge/>
                  <w:tcBorders>
                    <w:top w:val="nil"/>
                    <w:left w:val="single" w:sz="8" w:space="0" w:color="F4B084"/>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0" w:type="auto"/>
                  <w:vMerge/>
                  <w:tcBorders>
                    <w:top w:val="nil"/>
                    <w:left w:val="nil"/>
                    <w:bottom w:val="single" w:sz="8" w:space="0" w:color="F4B084"/>
                    <w:right w:val="single" w:sz="8" w:space="0" w:color="F4B084"/>
                  </w:tcBorders>
                  <w:vAlign w:val="center"/>
                  <w:hideMark/>
                </w:tcPr>
                <w:p w:rsidR="00F75D3E" w:rsidRDefault="00F75D3E">
                  <w:pPr>
                    <w:spacing w:line="240" w:lineRule="auto"/>
                    <w:rPr>
                      <w:color w:val="000000"/>
                      <w:lang w:eastAsia="en-GB"/>
                    </w:rPr>
                  </w:pP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r w:rsidR="00F75D3E">
              <w:trPr>
                <w:trHeight w:val="637"/>
              </w:trPr>
              <w:tc>
                <w:tcPr>
                  <w:tcW w:w="3077" w:type="dxa"/>
                  <w:tcBorders>
                    <w:top w:val="nil"/>
                    <w:left w:val="single" w:sz="8" w:space="0" w:color="F4B084"/>
                    <w:bottom w:val="single" w:sz="8" w:space="0" w:color="F4B084"/>
                    <w:right w:val="single" w:sz="8" w:space="0" w:color="F4B084"/>
                  </w:tcBorders>
                  <w:shd w:val="clear" w:color="auto" w:fill="FCE4D6"/>
                  <w:tcMar>
                    <w:top w:w="0" w:type="dxa"/>
                    <w:left w:w="108" w:type="dxa"/>
                    <w:bottom w:w="0" w:type="dxa"/>
                    <w:right w:w="108" w:type="dxa"/>
                  </w:tcMar>
                  <w:vAlign w:val="center"/>
                  <w:hideMark/>
                </w:tcPr>
                <w:p w:rsidR="00F75D3E" w:rsidRDefault="00F75D3E">
                  <w:pPr>
                    <w:spacing w:line="240" w:lineRule="auto"/>
                    <w:rPr>
                      <w:color w:val="000000"/>
                      <w:lang w:eastAsia="en-GB"/>
                    </w:rPr>
                  </w:pPr>
                  <w:r>
                    <w:rPr>
                      <w:color w:val="000000"/>
                      <w:lang w:eastAsia="en-GB"/>
                    </w:rPr>
                    <w:t>28 September 2020 onwards</w:t>
                  </w:r>
                </w:p>
              </w:tc>
              <w:tc>
                <w:tcPr>
                  <w:tcW w:w="4502" w:type="dxa"/>
                  <w:tcBorders>
                    <w:top w:val="nil"/>
                    <w:left w:val="nil"/>
                    <w:bottom w:val="single" w:sz="8" w:space="0" w:color="F4B084"/>
                    <w:right w:val="single" w:sz="8" w:space="0" w:color="F4B084"/>
                  </w:tcBorders>
                  <w:shd w:val="clear" w:color="auto" w:fill="FCE4D6"/>
                  <w:tcMar>
                    <w:top w:w="0" w:type="dxa"/>
                    <w:left w:w="108" w:type="dxa"/>
                    <w:bottom w:w="0" w:type="dxa"/>
                    <w:right w:w="108" w:type="dxa"/>
                  </w:tcMar>
                  <w:vAlign w:val="center"/>
                  <w:hideMark/>
                </w:tcPr>
                <w:p w:rsidR="00F75D3E" w:rsidRDefault="00F75D3E">
                  <w:pPr>
                    <w:spacing w:line="240" w:lineRule="auto"/>
                    <w:rPr>
                      <w:color w:val="000000"/>
                      <w:lang w:eastAsia="en-GB"/>
                    </w:rPr>
                  </w:pPr>
                  <w:r>
                    <w:rPr>
                      <w:color w:val="000000"/>
                      <w:lang w:eastAsia="en-GB"/>
                    </w:rPr>
                    <w:t>Normal delivery schedule will apply with all sites able to receive a weekly delivery</w:t>
                  </w:r>
                </w:p>
              </w:tc>
              <w:tc>
                <w:tcPr>
                  <w:tcW w:w="6" w:type="dxa"/>
                  <w:vAlign w:val="center"/>
                  <w:hideMark/>
                </w:tcPr>
                <w:p w:rsidR="00F75D3E" w:rsidRDefault="00F75D3E">
                  <w:pPr>
                    <w:spacing w:line="240" w:lineRule="auto"/>
                    <w:rPr>
                      <w:rFonts w:ascii="Times New Roman" w:eastAsia="Times New Roman" w:hAnsi="Times New Roman" w:cs="Times New Roman"/>
                      <w:sz w:val="20"/>
                      <w:szCs w:val="20"/>
                      <w:lang w:eastAsia="en-GB"/>
                    </w:rPr>
                  </w:pPr>
                </w:p>
              </w:tc>
            </w:tr>
          </w:tbl>
          <w:p w:rsidR="00F75D3E" w:rsidRDefault="00F75D3E">
            <w:pPr>
              <w:pStyle w:val="BodyText1"/>
              <w:rPr>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p>
          <w:p w:rsidR="00F75D3E" w:rsidRDefault="00F75D3E">
            <w:pPr>
              <w:pStyle w:val="NormalWeb"/>
              <w:spacing w:before="0" w:beforeAutospacing="0" w:after="0" w:afterAutospacing="0"/>
              <w:rPr>
                <w:rFonts w:ascii="Arial" w:hAnsi="Arial" w:cs="Arial"/>
                <w:sz w:val="22"/>
                <w:szCs w:val="22"/>
                <w:lang w:eastAsia="en-US"/>
              </w:rPr>
            </w:pPr>
            <w:r>
              <w:rPr>
                <w:rFonts w:ascii="Arial" w:hAnsi="Arial" w:cs="Arial"/>
                <w:sz w:val="22"/>
                <w:szCs w:val="22"/>
                <w:lang w:eastAsia="en-US"/>
              </w:rPr>
              <w:t>All sites are advised to wait unit a supply of vaccines has been secured before arranging clinics.</w:t>
            </w:r>
          </w:p>
          <w:p w:rsidR="00F75D3E" w:rsidRDefault="00F75D3E">
            <w:pPr>
              <w:pStyle w:val="Heading1"/>
              <w:spacing w:line="360" w:lineRule="auto"/>
              <w:rPr>
                <w:rFonts w:eastAsia="Times New Roman"/>
                <w:color w:val="F39200"/>
              </w:rPr>
            </w:pPr>
            <w:r>
              <w:rPr>
                <w:rFonts w:eastAsia="Times New Roman"/>
                <w:color w:val="F39200"/>
              </w:rPr>
              <w:t>Driver access to premises</w:t>
            </w:r>
          </w:p>
          <w:p w:rsidR="00F75D3E" w:rsidRDefault="00F75D3E">
            <w:pPr>
              <w:spacing w:line="360" w:lineRule="auto"/>
              <w:rPr>
                <w:color w:val="000000"/>
              </w:rPr>
            </w:pPr>
            <w:proofErr w:type="spellStart"/>
            <w:r>
              <w:rPr>
                <w:color w:val="000000"/>
              </w:rPr>
              <w:t>Movianto</w:t>
            </w:r>
            <w:proofErr w:type="spellEnd"/>
            <w:r>
              <w:rPr>
                <w:color w:val="000000"/>
              </w:rPr>
              <w:t xml:space="preserve"> have reported that a number of GP practices in other areas of the UK have requested that drivers leave packages outside the premises for practice staff to collect.  With deliveries of flu vaccines this creates risk around maintenance of cold chain and integrity of the vaccines.</w:t>
            </w:r>
          </w:p>
          <w:p w:rsidR="00F75D3E" w:rsidRDefault="00F75D3E">
            <w:pPr>
              <w:spacing w:line="360" w:lineRule="auto"/>
              <w:rPr>
                <w:color w:val="000000"/>
              </w:rPr>
            </w:pPr>
          </w:p>
          <w:p w:rsidR="00F75D3E" w:rsidRDefault="00F75D3E">
            <w:pPr>
              <w:spacing w:line="360" w:lineRule="auto"/>
              <w:rPr>
                <w:color w:val="000000"/>
              </w:rPr>
            </w:pPr>
            <w:r>
              <w:rPr>
                <w:color w:val="000000"/>
              </w:rPr>
              <w:t xml:space="preserve">All Scottish delivery sites will be required to allow the </w:t>
            </w:r>
            <w:proofErr w:type="spellStart"/>
            <w:r>
              <w:rPr>
                <w:color w:val="000000"/>
              </w:rPr>
              <w:t>Movianto</w:t>
            </w:r>
            <w:proofErr w:type="spellEnd"/>
            <w:r>
              <w:rPr>
                <w:color w:val="000000"/>
              </w:rPr>
              <w:t xml:space="preserve"> drivers access to the premises to complete their deliveries.  Where this is not possible a member of staff should be available to meet the driver at the main entrance to take delivery of the vaccines.  </w:t>
            </w:r>
          </w:p>
          <w:p w:rsidR="00F75D3E" w:rsidRDefault="00F75D3E">
            <w:pPr>
              <w:pStyle w:val="BodyText1"/>
              <w:spacing w:line="360" w:lineRule="auto"/>
              <w:ind w:left="284"/>
              <w:rPr>
                <w:sz w:val="22"/>
                <w:szCs w:val="22"/>
                <w:lang w:eastAsia="en-US"/>
              </w:rPr>
            </w:pPr>
          </w:p>
          <w:p w:rsidR="00F75D3E" w:rsidRDefault="00F75D3E">
            <w:pPr>
              <w:pStyle w:val="BodyText1"/>
              <w:spacing w:line="360" w:lineRule="auto"/>
              <w:rPr>
                <w:sz w:val="22"/>
                <w:szCs w:val="22"/>
              </w:rPr>
            </w:pPr>
            <w:r>
              <w:rPr>
                <w:sz w:val="22"/>
                <w:szCs w:val="22"/>
                <w:lang w:eastAsia="en-US"/>
              </w:rPr>
              <w:t xml:space="preserve">Health boards are asked to make delivery sites aware of this requirement to ensure any delays on the day of delivery are minimised. </w:t>
            </w:r>
          </w:p>
        </w:tc>
      </w:tr>
    </w:tbl>
    <w:p w:rsidR="00F75D3E" w:rsidRDefault="00F75D3E" w:rsidP="00F75D3E">
      <w:pPr>
        <w:pStyle w:val="BodyText1"/>
        <w:rPr>
          <w:lang w:eastAsia="en-US"/>
        </w:rPr>
      </w:pPr>
    </w:p>
    <w:tbl>
      <w:tblPr>
        <w:tblW w:w="10614" w:type="dxa"/>
        <w:tblInd w:w="108" w:type="dxa"/>
        <w:tblCellMar>
          <w:left w:w="0" w:type="dxa"/>
          <w:right w:w="0" w:type="dxa"/>
        </w:tblCellMar>
        <w:tblLook w:val="04A0"/>
      </w:tblPr>
      <w:tblGrid>
        <w:gridCol w:w="10614"/>
      </w:tblGrid>
      <w:tr w:rsidR="00F75D3E" w:rsidTr="00F75D3E">
        <w:trPr>
          <w:trHeight w:val="1238"/>
        </w:trPr>
        <w:tc>
          <w:tcPr>
            <w:tcW w:w="10614" w:type="dxa"/>
            <w:tcBorders>
              <w:top w:val="single" w:sz="18" w:space="0" w:color="0698D6"/>
              <w:left w:val="nil"/>
              <w:bottom w:val="nil"/>
              <w:right w:val="nil"/>
            </w:tcBorders>
            <w:tcMar>
              <w:top w:w="0" w:type="dxa"/>
              <w:left w:w="108" w:type="dxa"/>
              <w:bottom w:w="0" w:type="dxa"/>
              <w:right w:w="108" w:type="dxa"/>
            </w:tcMar>
          </w:tcPr>
          <w:p w:rsidR="00F75D3E" w:rsidRDefault="00F75D3E">
            <w:pPr>
              <w:pStyle w:val="Heading1"/>
              <w:spacing w:line="360" w:lineRule="auto"/>
              <w:rPr>
                <w:rFonts w:eastAsia="Times New Roman"/>
                <w:color w:val="F39200"/>
              </w:rPr>
            </w:pPr>
            <w:bookmarkStart w:id="26" w:name="_Corporate_mobile_and"/>
            <w:bookmarkStart w:id="27" w:name="_Coping_with_stress"/>
            <w:bookmarkStart w:id="28" w:name="_National_Collaborative_Boards"/>
            <w:bookmarkStart w:id="29" w:name="_Appointment_of_a"/>
            <w:bookmarkStart w:id="30" w:name="_eESS_system_downtime"/>
            <w:bookmarkStart w:id="31" w:name="_Walk_in_my"/>
            <w:bookmarkStart w:id="32" w:name="_Article_eight"/>
            <w:bookmarkStart w:id="33" w:name="_Show_your_pride"/>
            <w:bookmarkStart w:id="34" w:name="_Movianto_Branding"/>
            <w:bookmarkStart w:id="35" w:name="_Movianto_Update"/>
            <w:bookmarkEnd w:id="26"/>
            <w:bookmarkEnd w:id="27"/>
            <w:bookmarkEnd w:id="28"/>
            <w:bookmarkEnd w:id="29"/>
            <w:bookmarkEnd w:id="30"/>
            <w:bookmarkEnd w:id="31"/>
            <w:bookmarkEnd w:id="32"/>
            <w:bookmarkEnd w:id="33"/>
            <w:bookmarkEnd w:id="34"/>
            <w:bookmarkEnd w:id="35"/>
            <w:proofErr w:type="spellStart"/>
            <w:r>
              <w:rPr>
                <w:rFonts w:eastAsia="Times New Roman"/>
                <w:color w:val="F39200"/>
              </w:rPr>
              <w:lastRenderedPageBreak/>
              <w:t>Movianto</w:t>
            </w:r>
            <w:proofErr w:type="spellEnd"/>
            <w:r>
              <w:rPr>
                <w:rFonts w:eastAsia="Times New Roman"/>
                <w:color w:val="F39200"/>
              </w:rPr>
              <w:t xml:space="preserve"> Update</w:t>
            </w:r>
          </w:p>
          <w:p w:rsidR="00F75D3E" w:rsidRDefault="00F75D3E">
            <w:pPr>
              <w:pStyle w:val="Heading1"/>
              <w:spacing w:line="360" w:lineRule="auto"/>
              <w:rPr>
                <w:rFonts w:eastAsia="Times New Roman"/>
                <w:color w:val="F39200"/>
                <w:sz w:val="28"/>
                <w:szCs w:val="28"/>
              </w:rPr>
            </w:pPr>
            <w:r>
              <w:rPr>
                <w:rFonts w:eastAsia="Times New Roman"/>
                <w:color w:val="F39200"/>
                <w:sz w:val="28"/>
                <w:szCs w:val="28"/>
              </w:rPr>
              <w:t>Branding</w:t>
            </w:r>
          </w:p>
          <w:p w:rsidR="00F75D3E" w:rsidRDefault="00F75D3E">
            <w:pPr>
              <w:spacing w:line="360" w:lineRule="auto"/>
              <w:rPr>
                <w:color w:val="000000"/>
              </w:rPr>
            </w:pPr>
            <w:proofErr w:type="spellStart"/>
            <w:r>
              <w:rPr>
                <w:color w:val="000000"/>
              </w:rPr>
              <w:t>Movianto</w:t>
            </w:r>
            <w:proofErr w:type="spellEnd"/>
            <w:r>
              <w:rPr>
                <w:color w:val="000000"/>
              </w:rPr>
              <w:t xml:space="preserve"> will remain the </w:t>
            </w:r>
            <w:proofErr w:type="spellStart"/>
            <w:r>
              <w:rPr>
                <w:color w:val="000000"/>
              </w:rPr>
              <w:t>NHSScotland</w:t>
            </w:r>
            <w:proofErr w:type="spellEnd"/>
            <w:r>
              <w:rPr>
                <w:color w:val="000000"/>
              </w:rPr>
              <w:t xml:space="preserve"> flu vaccine storage and distribution partner for the 2020/21 flu season.  </w:t>
            </w:r>
            <w:proofErr w:type="spellStart"/>
            <w:r>
              <w:rPr>
                <w:color w:val="000000"/>
              </w:rPr>
              <w:t>Movianto</w:t>
            </w:r>
            <w:proofErr w:type="spellEnd"/>
            <w:r>
              <w:rPr>
                <w:color w:val="000000"/>
              </w:rPr>
              <w:t xml:space="preserve"> have recently been acquired by a new parent company so you will start to see new branding during the forthcoming flu season.</w:t>
            </w:r>
          </w:p>
          <w:p w:rsidR="00F75D3E" w:rsidRDefault="00F75D3E">
            <w:pPr>
              <w:pStyle w:val="BodyText1"/>
              <w:spacing w:line="360" w:lineRule="auto"/>
              <w:rPr>
                <w:lang w:eastAsia="en-US"/>
              </w:rPr>
            </w:pPr>
          </w:p>
          <w:p w:rsidR="00F75D3E" w:rsidRDefault="00F75D3E">
            <w:pPr>
              <w:pStyle w:val="BodyText1"/>
              <w:spacing w:line="360" w:lineRule="auto"/>
              <w:rPr>
                <w:lang w:eastAsia="en-US"/>
              </w:rPr>
            </w:pPr>
            <w:r>
              <w:rPr>
                <w:noProof/>
              </w:rPr>
              <w:drawing>
                <wp:inline distT="0" distB="0" distL="0" distR="0">
                  <wp:extent cx="4762500" cy="1276350"/>
                  <wp:effectExtent l="19050" t="0" r="0" b="0"/>
                  <wp:docPr id="2" name="Picture 2" descr="cid:image002.png@01D66A67.2F5DC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6A67.2F5DCAE0"/>
                          <pic:cNvPicPr>
                            <a:picLocks noChangeAspect="1" noChangeArrowheads="1"/>
                          </pic:cNvPicPr>
                        </pic:nvPicPr>
                        <pic:blipFill>
                          <a:blip r:embed="rId8" r:link="rId9" cstate="print"/>
                          <a:srcRect/>
                          <a:stretch>
                            <a:fillRect/>
                          </a:stretch>
                        </pic:blipFill>
                        <pic:spPr bwMode="auto">
                          <a:xfrm>
                            <a:off x="0" y="0"/>
                            <a:ext cx="4762500" cy="1276350"/>
                          </a:xfrm>
                          <a:prstGeom prst="rect">
                            <a:avLst/>
                          </a:prstGeom>
                          <a:noFill/>
                          <a:ln w="9525">
                            <a:noFill/>
                            <a:miter lim="800000"/>
                            <a:headEnd/>
                            <a:tailEnd/>
                          </a:ln>
                        </pic:spPr>
                      </pic:pic>
                    </a:graphicData>
                  </a:graphic>
                </wp:inline>
              </w:drawing>
            </w:r>
          </w:p>
          <w:p w:rsidR="00F75D3E" w:rsidRDefault="00F75D3E">
            <w:pPr>
              <w:pStyle w:val="Heading1"/>
              <w:spacing w:line="360" w:lineRule="auto"/>
              <w:rPr>
                <w:rFonts w:eastAsia="Times New Roman"/>
                <w:color w:val="F39200"/>
                <w:sz w:val="28"/>
                <w:szCs w:val="28"/>
              </w:rPr>
            </w:pPr>
            <w:r>
              <w:rPr>
                <w:rFonts w:eastAsia="Times New Roman"/>
                <w:color w:val="F39200"/>
                <w:sz w:val="28"/>
                <w:szCs w:val="28"/>
              </w:rPr>
              <w:t>Contact Details</w:t>
            </w:r>
          </w:p>
          <w:p w:rsidR="00F75D3E" w:rsidRDefault="00F75D3E">
            <w:pPr>
              <w:pStyle w:val="BodyText1"/>
              <w:spacing w:line="360" w:lineRule="auto"/>
              <w:rPr>
                <w:sz w:val="22"/>
                <w:szCs w:val="22"/>
                <w:lang w:eastAsia="en-US"/>
              </w:rPr>
            </w:pPr>
            <w:r>
              <w:rPr>
                <w:sz w:val="22"/>
                <w:szCs w:val="22"/>
                <w:lang w:eastAsia="en-US"/>
              </w:rPr>
              <w:t xml:space="preserve">The email address for the </w:t>
            </w:r>
            <w:proofErr w:type="spellStart"/>
            <w:r>
              <w:rPr>
                <w:sz w:val="22"/>
                <w:szCs w:val="22"/>
                <w:lang w:eastAsia="en-US"/>
              </w:rPr>
              <w:t>Movianto</w:t>
            </w:r>
            <w:proofErr w:type="spellEnd"/>
            <w:r>
              <w:rPr>
                <w:sz w:val="22"/>
                <w:szCs w:val="22"/>
                <w:lang w:eastAsia="en-US"/>
              </w:rPr>
              <w:t xml:space="preserve"> Scottish Flu Team will also be changing.  Please update your records with the email address below:</w:t>
            </w:r>
          </w:p>
          <w:p w:rsidR="00F75D3E" w:rsidRDefault="00F75D3E">
            <w:pPr>
              <w:pStyle w:val="BodyText1"/>
              <w:spacing w:line="360" w:lineRule="auto"/>
              <w:jc w:val="center"/>
              <w:rPr>
                <w:b/>
                <w:bCs/>
                <w:color w:val="052F61"/>
                <w:sz w:val="22"/>
                <w:szCs w:val="22"/>
                <w:lang w:eastAsia="en-US"/>
              </w:rPr>
            </w:pPr>
            <w:hyperlink r:id="rId10" w:history="1">
              <w:r>
                <w:rPr>
                  <w:rStyle w:val="Hyperlink"/>
                  <w:b/>
                  <w:bCs/>
                  <w:sz w:val="22"/>
                  <w:szCs w:val="22"/>
                </w:rPr>
                <w:t>Flu.Scotland@Movianto.com</w:t>
              </w:r>
            </w:hyperlink>
          </w:p>
          <w:p w:rsidR="00F75D3E" w:rsidRDefault="00F75D3E">
            <w:pPr>
              <w:pStyle w:val="BodyText1"/>
              <w:spacing w:line="360" w:lineRule="auto"/>
              <w:jc w:val="center"/>
              <w:rPr>
                <w:b/>
                <w:bCs/>
                <w:color w:val="052F61"/>
                <w:sz w:val="22"/>
                <w:szCs w:val="22"/>
                <w:lang w:eastAsia="en-US"/>
              </w:rPr>
            </w:pPr>
          </w:p>
          <w:p w:rsidR="00F75D3E" w:rsidRDefault="00F75D3E">
            <w:pPr>
              <w:pStyle w:val="BodyText1"/>
            </w:pPr>
            <w:r>
              <w:rPr>
                <w:sz w:val="22"/>
                <w:szCs w:val="22"/>
                <w:lang w:eastAsia="en-US"/>
              </w:rPr>
              <w:t xml:space="preserve">If there is a need to contact </w:t>
            </w:r>
            <w:proofErr w:type="spellStart"/>
            <w:r>
              <w:rPr>
                <w:sz w:val="22"/>
                <w:szCs w:val="22"/>
                <w:lang w:eastAsia="en-US"/>
              </w:rPr>
              <w:t>Movianto</w:t>
            </w:r>
            <w:proofErr w:type="spellEnd"/>
            <w:r>
              <w:rPr>
                <w:sz w:val="22"/>
                <w:szCs w:val="22"/>
                <w:lang w:eastAsia="en-US"/>
              </w:rPr>
              <w:t xml:space="preserve"> prior to ordering opening please do so via email using the address above. </w:t>
            </w:r>
          </w:p>
        </w:tc>
      </w:tr>
    </w:tbl>
    <w:p w:rsidR="00F75D3E" w:rsidRDefault="00F75D3E" w:rsidP="00F75D3E">
      <w:pPr>
        <w:pStyle w:val="BodyText1"/>
        <w:rPr>
          <w:sz w:val="22"/>
          <w:szCs w:val="22"/>
          <w:lang w:eastAsia="en-US"/>
        </w:rPr>
      </w:pPr>
    </w:p>
    <w:tbl>
      <w:tblPr>
        <w:tblW w:w="10614" w:type="dxa"/>
        <w:tblInd w:w="108" w:type="dxa"/>
        <w:tblCellMar>
          <w:left w:w="0" w:type="dxa"/>
          <w:right w:w="0" w:type="dxa"/>
        </w:tblCellMar>
        <w:tblLook w:val="04A0"/>
      </w:tblPr>
      <w:tblGrid>
        <w:gridCol w:w="10614"/>
      </w:tblGrid>
      <w:tr w:rsidR="00F75D3E" w:rsidTr="00F75D3E">
        <w:trPr>
          <w:trHeight w:val="1238"/>
        </w:trPr>
        <w:tc>
          <w:tcPr>
            <w:tcW w:w="10614" w:type="dxa"/>
            <w:tcBorders>
              <w:top w:val="single" w:sz="18" w:space="0" w:color="0698D6"/>
              <w:left w:val="nil"/>
              <w:bottom w:val="nil"/>
              <w:right w:val="nil"/>
            </w:tcBorders>
            <w:tcMar>
              <w:top w:w="0" w:type="dxa"/>
              <w:left w:w="108" w:type="dxa"/>
              <w:bottom w:w="0" w:type="dxa"/>
              <w:right w:w="108" w:type="dxa"/>
            </w:tcMar>
          </w:tcPr>
          <w:p w:rsidR="00F75D3E" w:rsidRDefault="00F75D3E">
            <w:pPr>
              <w:pStyle w:val="Heading1"/>
              <w:spacing w:line="360" w:lineRule="auto"/>
              <w:rPr>
                <w:rFonts w:eastAsia="Times New Roman"/>
              </w:rPr>
            </w:pPr>
            <w:bookmarkStart w:id="36" w:name="_And_finally..."/>
            <w:bookmarkEnd w:id="36"/>
            <w:proofErr w:type="gramStart"/>
            <w:r>
              <w:rPr>
                <w:rFonts w:eastAsia="Times New Roman"/>
                <w:color w:val="F39200"/>
              </w:rPr>
              <w:t>And finally...</w:t>
            </w:r>
            <w:proofErr w:type="gramEnd"/>
          </w:p>
          <w:p w:rsidR="00F75D3E" w:rsidRDefault="00F75D3E">
            <w:pPr>
              <w:spacing w:line="360" w:lineRule="auto"/>
              <w:rPr>
                <w:lang w:eastAsia="en-GB"/>
              </w:rPr>
            </w:pPr>
            <w:r>
              <w:rPr>
                <w:lang w:eastAsia="en-GB"/>
              </w:rPr>
              <w:t>Now the 2019/2020 season has been completed see below for short illustration on the season in numbers…</w:t>
            </w:r>
          </w:p>
          <w:p w:rsidR="00F75D3E" w:rsidRDefault="00F75D3E">
            <w:pPr>
              <w:pStyle w:val="BodyText1"/>
            </w:pPr>
          </w:p>
          <w:p w:rsidR="00F75D3E" w:rsidRDefault="00F75D3E">
            <w:pPr>
              <w:pStyle w:val="BodyText1"/>
            </w:pPr>
            <w:r>
              <w:rPr>
                <w:noProof/>
              </w:rPr>
              <w:drawing>
                <wp:inline distT="0" distB="0" distL="0" distR="0">
                  <wp:extent cx="6315075" cy="1314450"/>
                  <wp:effectExtent l="19050" t="0" r="9525" b="0"/>
                  <wp:docPr id="3" name="Picture 3" descr="cid:image003.png@01D66A67.2F5DC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66A67.2F5DCAE0"/>
                          <pic:cNvPicPr>
                            <a:picLocks noChangeAspect="1" noChangeArrowheads="1"/>
                          </pic:cNvPicPr>
                        </pic:nvPicPr>
                        <pic:blipFill>
                          <a:blip r:embed="rId11" r:link="rId12" cstate="print"/>
                          <a:srcRect/>
                          <a:stretch>
                            <a:fillRect/>
                          </a:stretch>
                        </pic:blipFill>
                        <pic:spPr bwMode="auto">
                          <a:xfrm>
                            <a:off x="0" y="0"/>
                            <a:ext cx="6315075" cy="1314450"/>
                          </a:xfrm>
                          <a:prstGeom prst="rect">
                            <a:avLst/>
                          </a:prstGeom>
                          <a:noFill/>
                          <a:ln w="9525">
                            <a:noFill/>
                            <a:miter lim="800000"/>
                            <a:headEnd/>
                            <a:tailEnd/>
                          </a:ln>
                        </pic:spPr>
                      </pic:pic>
                    </a:graphicData>
                  </a:graphic>
                </wp:inline>
              </w:drawing>
            </w:r>
          </w:p>
        </w:tc>
      </w:tr>
    </w:tbl>
    <w:p w:rsidR="00F75D3E" w:rsidRDefault="00F75D3E" w:rsidP="00F75D3E"/>
    <w:tbl>
      <w:tblPr>
        <w:tblW w:w="10620" w:type="dxa"/>
        <w:tblInd w:w="108" w:type="dxa"/>
        <w:tblCellMar>
          <w:left w:w="0" w:type="dxa"/>
          <w:right w:w="0" w:type="dxa"/>
        </w:tblCellMar>
        <w:tblLook w:val="04A0"/>
      </w:tblPr>
      <w:tblGrid>
        <w:gridCol w:w="5072"/>
        <w:gridCol w:w="3150"/>
        <w:gridCol w:w="1026"/>
        <w:gridCol w:w="1372"/>
      </w:tblGrid>
      <w:tr w:rsidR="00F75D3E" w:rsidTr="00F75D3E">
        <w:trPr>
          <w:trHeight w:val="689"/>
        </w:trPr>
        <w:tc>
          <w:tcPr>
            <w:tcW w:w="5072" w:type="dxa"/>
            <w:vMerge w:val="restart"/>
            <w:tcBorders>
              <w:top w:val="single" w:sz="48" w:space="0" w:color="146194"/>
              <w:left w:val="nil"/>
              <w:bottom w:val="nil"/>
              <w:right w:val="nil"/>
            </w:tcBorders>
            <w:tcMar>
              <w:top w:w="0" w:type="dxa"/>
              <w:left w:w="108" w:type="dxa"/>
              <w:bottom w:w="0" w:type="dxa"/>
              <w:right w:w="108" w:type="dxa"/>
            </w:tcMar>
            <w:vAlign w:val="center"/>
            <w:hideMark/>
          </w:tcPr>
          <w:p w:rsidR="00F75D3E" w:rsidRDefault="00F75D3E">
            <w:pPr>
              <w:jc w:val="center"/>
            </w:pPr>
            <w:bookmarkStart w:id="37" w:name="_Target_Operating_Model"/>
            <w:bookmarkStart w:id="38" w:name="_Improving_the_experience"/>
            <w:bookmarkStart w:id="39" w:name="_Cycle_to_work"/>
            <w:bookmarkStart w:id="40" w:name="_Christmas_pay_dates"/>
            <w:bookmarkStart w:id="41" w:name="_Update_on_Reports"/>
            <w:bookmarkStart w:id="42" w:name="_Project_spotlight_–"/>
            <w:bookmarkStart w:id="43" w:name="_Fun_fact:"/>
            <w:bookmarkStart w:id="44" w:name="_Fun_fact"/>
            <w:bookmarkEnd w:id="37"/>
            <w:bookmarkEnd w:id="38"/>
            <w:bookmarkEnd w:id="39"/>
            <w:bookmarkEnd w:id="40"/>
            <w:bookmarkEnd w:id="41"/>
            <w:bookmarkEnd w:id="42"/>
            <w:bookmarkEnd w:id="43"/>
            <w:bookmarkEnd w:id="44"/>
            <w:r>
              <w:rPr>
                <w:noProof/>
                <w:lang w:eastAsia="en-GB"/>
              </w:rPr>
              <w:drawing>
                <wp:inline distT="0" distB="0" distL="0" distR="0">
                  <wp:extent cx="2009775" cy="1733550"/>
                  <wp:effectExtent l="19050" t="0" r="9525" b="0"/>
                  <wp:docPr id="4" name="Picture 4" descr="cid:image004.png@01D66A67.2F5DC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66A67.2F5DCAE0"/>
                          <pic:cNvPicPr>
                            <a:picLocks noChangeAspect="1" noChangeArrowheads="1"/>
                          </pic:cNvPicPr>
                        </pic:nvPicPr>
                        <pic:blipFill>
                          <a:blip r:embed="rId13" r:link="rId14" cstate="print"/>
                          <a:srcRect/>
                          <a:stretch>
                            <a:fillRect/>
                          </a:stretch>
                        </pic:blipFill>
                        <pic:spPr bwMode="auto">
                          <a:xfrm>
                            <a:off x="0" y="0"/>
                            <a:ext cx="2009775" cy="1733550"/>
                          </a:xfrm>
                          <a:prstGeom prst="rect">
                            <a:avLst/>
                          </a:prstGeom>
                          <a:noFill/>
                          <a:ln w="9525">
                            <a:noFill/>
                            <a:miter lim="800000"/>
                            <a:headEnd/>
                            <a:tailEnd/>
                          </a:ln>
                        </pic:spPr>
                      </pic:pic>
                    </a:graphicData>
                  </a:graphic>
                </wp:inline>
              </w:drawing>
            </w:r>
          </w:p>
        </w:tc>
        <w:tc>
          <w:tcPr>
            <w:tcW w:w="5548" w:type="dxa"/>
            <w:gridSpan w:val="3"/>
            <w:tcBorders>
              <w:top w:val="single" w:sz="48" w:space="0" w:color="146194"/>
              <w:left w:val="nil"/>
              <w:bottom w:val="nil"/>
              <w:right w:val="nil"/>
            </w:tcBorders>
            <w:tcMar>
              <w:top w:w="0" w:type="dxa"/>
              <w:left w:w="108" w:type="dxa"/>
              <w:bottom w:w="0" w:type="dxa"/>
              <w:right w:w="108" w:type="dxa"/>
            </w:tcMar>
          </w:tcPr>
          <w:p w:rsidR="00F75D3E" w:rsidRDefault="00F75D3E">
            <w:pPr>
              <w:spacing w:before="240" w:line="360" w:lineRule="auto"/>
              <w:rPr>
                <w:rStyle w:val="Strong"/>
                <w:color w:val="167AF3"/>
                <w:sz w:val="32"/>
                <w:szCs w:val="32"/>
              </w:rPr>
            </w:pPr>
            <w:r>
              <w:rPr>
                <w:rStyle w:val="Strong"/>
                <w:color w:val="167AF3"/>
                <w:sz w:val="32"/>
                <w:szCs w:val="32"/>
              </w:rPr>
              <w:t>Some links you might find helpful</w:t>
            </w:r>
          </w:p>
          <w:p w:rsidR="00F75D3E" w:rsidRDefault="00F75D3E">
            <w:pPr>
              <w:pStyle w:val="BodyText1"/>
              <w:rPr>
                <w:lang w:eastAsia="en-US"/>
              </w:rPr>
            </w:pPr>
          </w:p>
        </w:tc>
      </w:tr>
      <w:tr w:rsidR="00F75D3E" w:rsidTr="00F75D3E">
        <w:trPr>
          <w:trHeight w:val="1560"/>
        </w:trPr>
        <w:tc>
          <w:tcPr>
            <w:tcW w:w="0" w:type="auto"/>
            <w:vMerge/>
            <w:tcBorders>
              <w:top w:val="single" w:sz="48" w:space="0" w:color="146194"/>
              <w:left w:val="nil"/>
              <w:bottom w:val="nil"/>
              <w:right w:val="nil"/>
            </w:tcBorders>
            <w:vAlign w:val="center"/>
            <w:hideMark/>
          </w:tcPr>
          <w:p w:rsidR="00F75D3E" w:rsidRDefault="00F75D3E">
            <w:pPr>
              <w:spacing w:line="240" w:lineRule="auto"/>
            </w:pPr>
          </w:p>
        </w:tc>
        <w:tc>
          <w:tcPr>
            <w:tcW w:w="3150" w:type="dxa"/>
            <w:tcMar>
              <w:top w:w="0" w:type="dxa"/>
              <w:left w:w="108" w:type="dxa"/>
              <w:bottom w:w="0" w:type="dxa"/>
              <w:right w:w="108" w:type="dxa"/>
            </w:tcMar>
            <w:hideMark/>
          </w:tcPr>
          <w:p w:rsidR="00F75D3E" w:rsidRDefault="00F75D3E">
            <w:pPr>
              <w:rPr>
                <w:rStyle w:val="Hyperlink"/>
              </w:rPr>
            </w:pPr>
            <w:hyperlink r:id="rId15" w:history="1">
              <w:r>
                <w:rPr>
                  <w:rStyle w:val="Hyperlink"/>
                </w:rPr>
                <w:t>NSS Flu Webpage</w:t>
              </w:r>
            </w:hyperlink>
          </w:p>
          <w:p w:rsidR="00F75D3E" w:rsidRDefault="00F75D3E">
            <w:pPr>
              <w:spacing w:line="360" w:lineRule="auto"/>
              <w:rPr>
                <w:rStyle w:val="Strong"/>
                <w:b w:val="0"/>
                <w:bCs w:val="0"/>
              </w:rPr>
            </w:pPr>
            <w:hyperlink r:id="rId16" w:history="1">
              <w:proofErr w:type="spellStart"/>
              <w:r>
                <w:rPr>
                  <w:rStyle w:val="Hyperlink"/>
                </w:rPr>
                <w:t>Movianto</w:t>
              </w:r>
              <w:proofErr w:type="spellEnd"/>
              <w:r>
                <w:rPr>
                  <w:rStyle w:val="Hyperlink"/>
                </w:rPr>
                <w:t xml:space="preserve"> Marketplace</w:t>
              </w:r>
            </w:hyperlink>
          </w:p>
        </w:tc>
        <w:tc>
          <w:tcPr>
            <w:tcW w:w="1026" w:type="dxa"/>
            <w:tcMar>
              <w:top w:w="0" w:type="dxa"/>
              <w:left w:w="108" w:type="dxa"/>
              <w:bottom w:w="0" w:type="dxa"/>
              <w:right w:w="108" w:type="dxa"/>
            </w:tcMar>
            <w:vAlign w:val="bottom"/>
            <w:hideMark/>
          </w:tcPr>
          <w:p w:rsidR="00F75D3E" w:rsidRDefault="00F75D3E">
            <w:pPr>
              <w:spacing w:before="240" w:line="360" w:lineRule="auto"/>
              <w:jc w:val="center"/>
              <w:rPr>
                <w:rStyle w:val="Strong"/>
                <w:color w:val="167AF3"/>
                <w:sz w:val="28"/>
                <w:szCs w:val="28"/>
              </w:rPr>
            </w:pPr>
            <w:r>
              <w:rPr>
                <w:b/>
                <w:bCs/>
                <w:noProof/>
                <w:color w:val="167AF3"/>
                <w:sz w:val="28"/>
                <w:szCs w:val="28"/>
                <w:lang w:eastAsia="en-GB"/>
              </w:rPr>
              <w:drawing>
                <wp:inline distT="0" distB="0" distL="0" distR="0">
                  <wp:extent cx="514350" cy="581025"/>
                  <wp:effectExtent l="0" t="0" r="0" b="0"/>
                  <wp:docPr id="5" name="Picture 5" descr="cid:image005.png@01D66A67.2F5DCAE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66A67.2F5DCAE0"/>
                          <pic:cNvPicPr>
                            <a:picLocks noChangeAspect="1" noChangeArrowheads="1"/>
                          </pic:cNvPicPr>
                        </pic:nvPicPr>
                        <pic:blipFill>
                          <a:blip r:embed="rId18" r:link="rId19" cstate="print"/>
                          <a:srcRect/>
                          <a:stretch>
                            <a:fillRect/>
                          </a:stretch>
                        </pic:blipFill>
                        <pic:spPr bwMode="auto">
                          <a:xfrm>
                            <a:off x="0" y="0"/>
                            <a:ext cx="514350" cy="581025"/>
                          </a:xfrm>
                          <a:prstGeom prst="rect">
                            <a:avLst/>
                          </a:prstGeom>
                          <a:noFill/>
                          <a:ln w="9525">
                            <a:noFill/>
                            <a:miter lim="800000"/>
                            <a:headEnd/>
                            <a:tailEnd/>
                          </a:ln>
                        </pic:spPr>
                      </pic:pic>
                    </a:graphicData>
                  </a:graphic>
                </wp:inline>
              </w:drawing>
            </w:r>
          </w:p>
        </w:tc>
        <w:tc>
          <w:tcPr>
            <w:tcW w:w="1372" w:type="dxa"/>
            <w:tcMar>
              <w:top w:w="0" w:type="dxa"/>
              <w:left w:w="108" w:type="dxa"/>
              <w:bottom w:w="0" w:type="dxa"/>
              <w:right w:w="108" w:type="dxa"/>
            </w:tcMar>
            <w:vAlign w:val="bottom"/>
            <w:hideMark/>
          </w:tcPr>
          <w:p w:rsidR="00F75D3E" w:rsidRDefault="00F75D3E">
            <w:pPr>
              <w:spacing w:before="240" w:line="360" w:lineRule="auto"/>
              <w:rPr>
                <w:rStyle w:val="Strong"/>
                <w:color w:val="167AF3"/>
                <w:sz w:val="28"/>
                <w:szCs w:val="28"/>
              </w:rPr>
            </w:pPr>
            <w:r>
              <w:rPr>
                <w:b/>
                <w:bCs/>
                <w:noProof/>
                <w:color w:val="167AF3"/>
                <w:sz w:val="28"/>
                <w:szCs w:val="28"/>
                <w:lang w:eastAsia="en-GB"/>
              </w:rPr>
              <w:drawing>
                <wp:inline distT="0" distB="0" distL="0" distR="0">
                  <wp:extent cx="600075" cy="495300"/>
                  <wp:effectExtent l="0" t="0" r="0" b="0"/>
                  <wp:docPr id="6" name="Picture 6" descr="cid:image006.png@01D66A67.2F5DCAE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66A67.2F5DCAE0"/>
                          <pic:cNvPicPr>
                            <a:picLocks noChangeAspect="1" noChangeArrowheads="1"/>
                          </pic:cNvPicPr>
                        </pic:nvPicPr>
                        <pic:blipFill>
                          <a:blip r:embed="rId21" r:link="rId22" cstate="print"/>
                          <a:srcRect/>
                          <a:stretch>
                            <a:fillRect/>
                          </a:stretch>
                        </pic:blipFill>
                        <pic:spPr bwMode="auto">
                          <a:xfrm>
                            <a:off x="0" y="0"/>
                            <a:ext cx="600075" cy="495300"/>
                          </a:xfrm>
                          <a:prstGeom prst="rect">
                            <a:avLst/>
                          </a:prstGeom>
                          <a:noFill/>
                          <a:ln w="9525">
                            <a:noFill/>
                            <a:miter lim="800000"/>
                            <a:headEnd/>
                            <a:tailEnd/>
                          </a:ln>
                        </pic:spPr>
                      </pic:pic>
                    </a:graphicData>
                  </a:graphic>
                </wp:inline>
              </w:drawing>
            </w:r>
          </w:p>
        </w:tc>
      </w:tr>
      <w:tr w:rsidR="00F75D3E" w:rsidTr="00F75D3E">
        <w:trPr>
          <w:trHeight w:val="445"/>
        </w:trPr>
        <w:tc>
          <w:tcPr>
            <w:tcW w:w="0" w:type="auto"/>
            <w:vMerge/>
            <w:tcBorders>
              <w:top w:val="single" w:sz="48" w:space="0" w:color="146194"/>
              <w:left w:val="nil"/>
              <w:bottom w:val="nil"/>
              <w:right w:val="nil"/>
            </w:tcBorders>
            <w:vAlign w:val="center"/>
            <w:hideMark/>
          </w:tcPr>
          <w:p w:rsidR="00F75D3E" w:rsidRDefault="00F75D3E">
            <w:pPr>
              <w:spacing w:line="240" w:lineRule="auto"/>
            </w:pPr>
          </w:p>
        </w:tc>
        <w:tc>
          <w:tcPr>
            <w:tcW w:w="5548" w:type="dxa"/>
            <w:gridSpan w:val="3"/>
            <w:tcMar>
              <w:top w:w="0" w:type="dxa"/>
              <w:left w:w="108" w:type="dxa"/>
              <w:bottom w:w="0" w:type="dxa"/>
              <w:right w:w="108" w:type="dxa"/>
            </w:tcMar>
          </w:tcPr>
          <w:p w:rsidR="00F75D3E" w:rsidRDefault="00F75D3E">
            <w:pPr>
              <w:spacing w:line="360" w:lineRule="auto"/>
              <w:rPr>
                <w:rStyle w:val="Strong"/>
                <w:color w:val="00A2E5"/>
                <w:sz w:val="16"/>
                <w:szCs w:val="16"/>
              </w:rPr>
            </w:pPr>
          </w:p>
        </w:tc>
      </w:tr>
      <w:tr w:rsidR="00F75D3E" w:rsidTr="00F75D3E">
        <w:trPr>
          <w:trHeight w:val="445"/>
        </w:trPr>
        <w:tc>
          <w:tcPr>
            <w:tcW w:w="10620" w:type="dxa"/>
            <w:gridSpan w:val="4"/>
            <w:shd w:val="clear" w:color="auto" w:fill="F39200"/>
            <w:tcMar>
              <w:top w:w="0" w:type="dxa"/>
              <w:left w:w="108" w:type="dxa"/>
              <w:bottom w:w="0" w:type="dxa"/>
              <w:right w:w="108" w:type="dxa"/>
            </w:tcMar>
          </w:tcPr>
          <w:p w:rsidR="00F75D3E" w:rsidRDefault="00F75D3E">
            <w:pPr>
              <w:spacing w:line="360" w:lineRule="auto"/>
              <w:rPr>
                <w:rStyle w:val="Strong"/>
                <w:color w:val="00A2E5"/>
                <w:sz w:val="16"/>
                <w:szCs w:val="16"/>
              </w:rPr>
            </w:pPr>
          </w:p>
          <w:p w:rsidR="00F75D3E" w:rsidRDefault="00F75D3E">
            <w:pPr>
              <w:jc w:val="center"/>
              <w:rPr>
                <w:rStyle w:val="Hyperlink"/>
                <w:color w:val="FFFFFF"/>
                <w:sz w:val="24"/>
                <w:szCs w:val="24"/>
                <w:lang w:eastAsia="en-GB"/>
              </w:rPr>
            </w:pPr>
            <w:r>
              <w:rPr>
                <w:rStyle w:val="Hyperlink"/>
                <w:b/>
                <w:bCs/>
                <w:color w:val="FFFFFF"/>
                <w:sz w:val="24"/>
                <w:szCs w:val="24"/>
                <w:lang w:eastAsia="en-GB"/>
              </w:rPr>
              <w:t>For any enquires please contact</w:t>
            </w:r>
          </w:p>
          <w:p w:rsidR="00F75D3E" w:rsidRDefault="00F75D3E">
            <w:pPr>
              <w:jc w:val="center"/>
              <w:rPr>
                <w:sz w:val="32"/>
                <w:szCs w:val="32"/>
              </w:rPr>
            </w:pPr>
            <w:hyperlink r:id="rId23" w:history="1">
              <w:r>
                <w:rPr>
                  <w:rStyle w:val="Hyperlink"/>
                  <w:b/>
                  <w:bCs/>
                  <w:color w:val="FFFFFF"/>
                  <w:lang w:eastAsia="en-GB"/>
                </w:rPr>
                <w:t>NSS.fluvaccineenquiries@nhs.net</w:t>
              </w:r>
            </w:hyperlink>
          </w:p>
          <w:p w:rsidR="00F75D3E" w:rsidRDefault="00F75D3E">
            <w:pPr>
              <w:jc w:val="center"/>
              <w:rPr>
                <w:rStyle w:val="Strong"/>
              </w:rPr>
            </w:pPr>
          </w:p>
        </w:tc>
      </w:tr>
    </w:tbl>
    <w:p w:rsidR="00141D54" w:rsidRDefault="00141D54" w:rsidP="00F75D3E">
      <w:pPr>
        <w:ind w:left="-993" w:firstLine="284"/>
      </w:pPr>
    </w:p>
    <w:sectPr w:rsidR="00141D54" w:rsidSect="00141D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45E64"/>
    <w:multiLevelType w:val="multilevel"/>
    <w:tmpl w:val="01DA4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75D3E"/>
    <w:rsid w:val="0002248B"/>
    <w:rsid w:val="00100AEE"/>
    <w:rsid w:val="00141D54"/>
    <w:rsid w:val="001B4183"/>
    <w:rsid w:val="001D4295"/>
    <w:rsid w:val="001F0770"/>
    <w:rsid w:val="002E7448"/>
    <w:rsid w:val="00482ECE"/>
    <w:rsid w:val="00513A8D"/>
    <w:rsid w:val="005422C5"/>
    <w:rsid w:val="0057402B"/>
    <w:rsid w:val="0062040C"/>
    <w:rsid w:val="0063400F"/>
    <w:rsid w:val="00677D5F"/>
    <w:rsid w:val="006A282A"/>
    <w:rsid w:val="007178CD"/>
    <w:rsid w:val="009C390D"/>
    <w:rsid w:val="00A46F32"/>
    <w:rsid w:val="00C167E7"/>
    <w:rsid w:val="00C31D08"/>
    <w:rsid w:val="00D81BE5"/>
    <w:rsid w:val="00E97282"/>
    <w:rsid w:val="00F37084"/>
    <w:rsid w:val="00F75D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F75D3E"/>
    <w:pPr>
      <w:spacing w:after="0"/>
    </w:pPr>
    <w:rPr>
      <w:rFonts w:ascii="Arial" w:hAnsi="Arial" w:cs="Arial"/>
    </w:rPr>
  </w:style>
  <w:style w:type="paragraph" w:styleId="Heading1">
    <w:name w:val="heading 1"/>
    <w:basedOn w:val="Normal"/>
    <w:link w:val="Heading1Char"/>
    <w:uiPriority w:val="9"/>
    <w:qFormat/>
    <w:rsid w:val="00F75D3E"/>
    <w:pPr>
      <w:keepNext/>
      <w:spacing w:before="240"/>
      <w:outlineLvl w:val="0"/>
    </w:pPr>
    <w:rPr>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D3E"/>
    <w:rPr>
      <w:rFonts w:ascii="Arial" w:hAnsi="Arial" w:cs="Arial"/>
      <w:b/>
      <w:bCs/>
      <w:kern w:val="36"/>
      <w:sz w:val="32"/>
      <w:szCs w:val="32"/>
    </w:rPr>
  </w:style>
  <w:style w:type="character" w:styleId="Hyperlink">
    <w:name w:val="Hyperlink"/>
    <w:basedOn w:val="DefaultParagraphFont"/>
    <w:uiPriority w:val="99"/>
    <w:semiHidden/>
    <w:unhideWhenUsed/>
    <w:rsid w:val="00F75D3E"/>
    <w:rPr>
      <w:color w:val="0000FF"/>
      <w:u w:val="single"/>
    </w:rPr>
  </w:style>
  <w:style w:type="paragraph" w:styleId="NormalWeb">
    <w:name w:val="Normal (Web)"/>
    <w:basedOn w:val="Normal"/>
    <w:uiPriority w:val="99"/>
    <w:semiHidden/>
    <w:unhideWhenUsed/>
    <w:rsid w:val="00F75D3E"/>
    <w:pPr>
      <w:spacing w:before="100" w:beforeAutospacing="1" w:after="100" w:afterAutospacing="1"/>
    </w:pPr>
    <w:rPr>
      <w:rFonts w:ascii="Times New Roman" w:hAnsi="Times New Roman" w:cs="Times New Roman"/>
      <w:sz w:val="24"/>
      <w:szCs w:val="24"/>
      <w:lang w:eastAsia="en-GB"/>
    </w:rPr>
  </w:style>
  <w:style w:type="paragraph" w:customStyle="1" w:styleId="BodyText1">
    <w:name w:val="Body Text1"/>
    <w:basedOn w:val="Normal"/>
    <w:uiPriority w:val="99"/>
    <w:semiHidden/>
    <w:rsid w:val="00F75D3E"/>
    <w:pPr>
      <w:autoSpaceDE w:val="0"/>
      <w:autoSpaceDN w:val="0"/>
    </w:pPr>
    <w:rPr>
      <w:sz w:val="24"/>
      <w:szCs w:val="24"/>
      <w:lang w:eastAsia="en-GB"/>
    </w:rPr>
  </w:style>
  <w:style w:type="character" w:styleId="Strong">
    <w:name w:val="Strong"/>
    <w:basedOn w:val="DefaultParagraphFont"/>
    <w:uiPriority w:val="22"/>
    <w:qFormat/>
    <w:rsid w:val="00F75D3E"/>
    <w:rPr>
      <w:b/>
      <w:bCs/>
    </w:rPr>
  </w:style>
  <w:style w:type="paragraph" w:styleId="BalloonText">
    <w:name w:val="Balloon Text"/>
    <w:basedOn w:val="Normal"/>
    <w:link w:val="BalloonTextChar"/>
    <w:uiPriority w:val="99"/>
    <w:semiHidden/>
    <w:unhideWhenUsed/>
    <w:rsid w:val="00F75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6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BLOCKEDapp%5b.%5dbox%5b.%5dcom/s/t5ockz9bb6xw6t2mrrzb144njplimfo0/file/529004924372BLOCKED" TargetMode="External"/><Relationship Id="rId12" Type="http://schemas.openxmlformats.org/officeDocument/2006/relationships/image" Target="cid:image003.png@01D66A67.2F5DCAE0" TargetMode="External"/><Relationship Id="rId17" Type="http://schemas.openxmlformats.org/officeDocument/2006/relationships/hyperlink" Target="https://nhsns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BLOCKEDommarketplace%5b.%5dco%5b.%5duk/OM%5b.%5dCustomerPortal/Account/Home/LoginBLOCKED" TargetMode="External"/><Relationship Id="rId20" Type="http://schemas.openxmlformats.org/officeDocument/2006/relationships/hyperlink" Target="BLOCKEDtwitter%5b.%5dcom/nhsnssBLOCKED" TargetMode="External"/><Relationship Id="rId1" Type="http://schemas.openxmlformats.org/officeDocument/2006/relationships/numbering" Target="numbering.xml"/><Relationship Id="rId6" Type="http://schemas.openxmlformats.org/officeDocument/2006/relationships/image" Target="cid:image001.jpg@01D66A67.2F5DCAE0"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hsnss.org/services/practitioner/medical/" TargetMode="External"/><Relationship Id="rId23" Type="http://schemas.openxmlformats.org/officeDocument/2006/relationships/hyperlink" Target="mailto:NSS.fluvaccineenquiries@nhs.net" TargetMode="External"/><Relationship Id="rId10" Type="http://schemas.openxmlformats.org/officeDocument/2006/relationships/hyperlink" Target="mailto:Flu.Scotland@Movianto.com" TargetMode="External"/><Relationship Id="rId19" Type="http://schemas.openxmlformats.org/officeDocument/2006/relationships/image" Target="cid:image005.png@01D66A67.2F5DCAE0" TargetMode="External"/><Relationship Id="rId4" Type="http://schemas.openxmlformats.org/officeDocument/2006/relationships/webSettings" Target="webSettings.xml"/><Relationship Id="rId9" Type="http://schemas.openxmlformats.org/officeDocument/2006/relationships/image" Target="cid:image002.png@01D66A67.2F5DCAE0" TargetMode="External"/><Relationship Id="rId14" Type="http://schemas.openxmlformats.org/officeDocument/2006/relationships/image" Target="cid:image004.png@01D66A67.2F5DCAE0" TargetMode="External"/><Relationship Id="rId22" Type="http://schemas.openxmlformats.org/officeDocument/2006/relationships/image" Target="cid:image006.png@01D66A67.2F5DCA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984</Words>
  <Characters>5610</Characters>
  <Application>Microsoft Office Word</Application>
  <DocSecurity>0</DocSecurity>
  <Lines>46</Lines>
  <Paragraphs>13</Paragraphs>
  <ScaleCrop>false</ScaleCrop>
  <Company>NHS Greater Glasgow and Clyde</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OGILVJU866</dc:creator>
  <cp:lastModifiedBy>OGILVJU866</cp:lastModifiedBy>
  <cp:revision>1</cp:revision>
  <dcterms:created xsi:type="dcterms:W3CDTF">2020-08-13T11:48:00Z</dcterms:created>
  <dcterms:modified xsi:type="dcterms:W3CDTF">2020-08-13T11:50:00Z</dcterms:modified>
</cp:coreProperties>
</file>