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52" w:type="pct"/>
        <w:jc w:val="center"/>
        <w:tblInd w:w="-3374" w:type="dxa"/>
        <w:tblCellMar>
          <w:left w:w="0" w:type="dxa"/>
          <w:right w:w="0" w:type="dxa"/>
        </w:tblCellMar>
        <w:tblLook w:val="04A0"/>
      </w:tblPr>
      <w:tblGrid>
        <w:gridCol w:w="4542"/>
        <w:gridCol w:w="20"/>
        <w:gridCol w:w="5885"/>
      </w:tblGrid>
      <w:tr w:rsidR="00266F3D" w:rsidTr="00266F3D">
        <w:trPr>
          <w:jc w:val="center"/>
        </w:trPr>
        <w:tc>
          <w:tcPr>
            <w:tcW w:w="10448" w:type="dxa"/>
            <w:gridSpan w:val="3"/>
            <w:tcMar>
              <w:top w:w="0" w:type="dxa"/>
              <w:left w:w="108" w:type="dxa"/>
              <w:bottom w:w="0" w:type="dxa"/>
              <w:right w:w="108" w:type="dxa"/>
            </w:tcMar>
          </w:tcPr>
          <w:p w:rsidR="00266F3D" w:rsidRDefault="00266F3D"/>
        </w:tc>
      </w:tr>
      <w:tr w:rsidR="00266F3D" w:rsidTr="00266F3D">
        <w:trPr>
          <w:trHeight w:val="95"/>
          <w:jc w:val="center"/>
        </w:trPr>
        <w:tc>
          <w:tcPr>
            <w:tcW w:w="10448" w:type="dxa"/>
            <w:gridSpan w:val="3"/>
            <w:tcMar>
              <w:top w:w="0" w:type="dxa"/>
              <w:left w:w="108" w:type="dxa"/>
              <w:bottom w:w="0" w:type="dxa"/>
              <w:right w:w="108" w:type="dxa"/>
            </w:tcMar>
          </w:tcPr>
          <w:p w:rsidR="00266F3D" w:rsidRDefault="00266F3D" w:rsidP="00266F3D">
            <w:pPr>
              <w:rPr>
                <w:rFonts w:ascii="Arial" w:eastAsia="Times New Roman" w:hAnsi="Arial" w:cs="Arial"/>
                <w:color w:val="1F497D"/>
              </w:rPr>
            </w:pPr>
          </w:p>
        </w:tc>
      </w:tr>
      <w:tr w:rsidR="00266F3D" w:rsidTr="00266F3D">
        <w:trPr>
          <w:jc w:val="center"/>
        </w:trPr>
        <w:tc>
          <w:tcPr>
            <w:tcW w:w="4543" w:type="dxa"/>
            <w:tcMar>
              <w:top w:w="0" w:type="dxa"/>
              <w:left w:w="108" w:type="dxa"/>
              <w:bottom w:w="0" w:type="dxa"/>
              <w:right w:w="108" w:type="dxa"/>
            </w:tcMar>
          </w:tcPr>
          <w:p w:rsidR="00266F3D" w:rsidRDefault="00266F3D"/>
        </w:tc>
        <w:tc>
          <w:tcPr>
            <w:tcW w:w="5905" w:type="dxa"/>
            <w:gridSpan w:val="2"/>
            <w:tcMar>
              <w:top w:w="0" w:type="dxa"/>
              <w:left w:w="108" w:type="dxa"/>
              <w:bottom w:w="0" w:type="dxa"/>
              <w:right w:w="108" w:type="dxa"/>
            </w:tcMar>
          </w:tcPr>
          <w:p w:rsidR="00266F3D" w:rsidRDefault="00266F3D"/>
        </w:tc>
      </w:tr>
      <w:tr w:rsidR="00266F3D" w:rsidTr="00266F3D">
        <w:trPr>
          <w:jc w:val="center"/>
        </w:trPr>
        <w:tc>
          <w:tcPr>
            <w:tcW w:w="4543" w:type="dxa"/>
            <w:tcMar>
              <w:top w:w="0" w:type="dxa"/>
              <w:left w:w="108" w:type="dxa"/>
              <w:bottom w:w="0" w:type="dxa"/>
              <w:right w:w="108" w:type="dxa"/>
            </w:tcMar>
          </w:tcPr>
          <w:p w:rsidR="00266F3D" w:rsidRDefault="00266F3D"/>
        </w:tc>
        <w:tc>
          <w:tcPr>
            <w:tcW w:w="5905" w:type="dxa"/>
            <w:gridSpan w:val="2"/>
            <w:tcMar>
              <w:top w:w="0" w:type="dxa"/>
              <w:left w:w="108" w:type="dxa"/>
              <w:bottom w:w="0" w:type="dxa"/>
              <w:right w:w="108" w:type="dxa"/>
            </w:tcMar>
          </w:tcPr>
          <w:p w:rsidR="00266F3D" w:rsidRDefault="00266F3D"/>
        </w:tc>
      </w:tr>
      <w:tr w:rsidR="00266F3D" w:rsidTr="00266F3D">
        <w:trPr>
          <w:jc w:val="center"/>
        </w:trPr>
        <w:tc>
          <w:tcPr>
            <w:tcW w:w="10448" w:type="dxa"/>
            <w:gridSpan w:val="3"/>
            <w:tcMar>
              <w:top w:w="0" w:type="dxa"/>
              <w:left w:w="108" w:type="dxa"/>
              <w:bottom w:w="0" w:type="dxa"/>
              <w:right w:w="108" w:type="dxa"/>
            </w:tcMar>
          </w:tcPr>
          <w:p w:rsidR="00266F3D" w:rsidRDefault="00266F3D" w:rsidP="00266F3D">
            <w:pPr>
              <w:ind w:left="-1889"/>
              <w:rPr>
                <w:rFonts w:ascii="Arial" w:hAnsi="Arial" w:cs="Arial"/>
                <w:color w:val="000000"/>
              </w:rPr>
            </w:pPr>
          </w:p>
        </w:tc>
      </w:tr>
      <w:tr w:rsidR="00266F3D" w:rsidTr="00266F3D">
        <w:trPr>
          <w:jc w:val="center"/>
        </w:trPr>
        <w:tc>
          <w:tcPr>
            <w:tcW w:w="4543" w:type="dxa"/>
            <w:tcMar>
              <w:top w:w="0" w:type="dxa"/>
              <w:left w:w="108" w:type="dxa"/>
              <w:bottom w:w="0" w:type="dxa"/>
              <w:right w:w="108" w:type="dxa"/>
            </w:tcMar>
          </w:tcPr>
          <w:p w:rsidR="00266F3D" w:rsidRDefault="00266F3D"/>
        </w:tc>
        <w:tc>
          <w:tcPr>
            <w:tcW w:w="5905" w:type="dxa"/>
            <w:gridSpan w:val="2"/>
            <w:tcMar>
              <w:top w:w="0" w:type="dxa"/>
              <w:left w:w="108" w:type="dxa"/>
              <w:bottom w:w="0" w:type="dxa"/>
              <w:right w:w="108" w:type="dxa"/>
            </w:tcMar>
          </w:tcPr>
          <w:p w:rsidR="00266F3D" w:rsidRDefault="00266F3D"/>
        </w:tc>
      </w:tr>
      <w:tr w:rsidR="00266F3D" w:rsidTr="00266F3D">
        <w:trPr>
          <w:jc w:val="center"/>
        </w:trPr>
        <w:tc>
          <w:tcPr>
            <w:tcW w:w="4543" w:type="dxa"/>
            <w:shd w:val="clear" w:color="auto" w:fill="DEEAF6"/>
            <w:tcMar>
              <w:top w:w="0" w:type="dxa"/>
              <w:left w:w="108" w:type="dxa"/>
              <w:bottom w:w="0" w:type="dxa"/>
              <w:right w:w="108" w:type="dxa"/>
            </w:tcMar>
          </w:tcPr>
          <w:p w:rsidR="00266F3D" w:rsidRDefault="00266F3D">
            <w:pPr>
              <w:rPr>
                <w:color w:val="1F497D"/>
              </w:rPr>
            </w:pPr>
          </w:p>
        </w:tc>
        <w:tc>
          <w:tcPr>
            <w:tcW w:w="5905" w:type="dxa"/>
            <w:gridSpan w:val="2"/>
            <w:shd w:val="clear" w:color="auto" w:fill="DEEAF6"/>
            <w:tcMar>
              <w:top w:w="0" w:type="dxa"/>
              <w:left w:w="108" w:type="dxa"/>
              <w:bottom w:w="0" w:type="dxa"/>
              <w:right w:w="108" w:type="dxa"/>
            </w:tcMar>
          </w:tcPr>
          <w:p w:rsidR="00266F3D" w:rsidRDefault="00266F3D"/>
        </w:tc>
      </w:tr>
      <w:tr w:rsidR="00266F3D" w:rsidTr="00266F3D">
        <w:trPr>
          <w:jc w:val="center"/>
        </w:trPr>
        <w:tc>
          <w:tcPr>
            <w:tcW w:w="10448" w:type="dxa"/>
            <w:gridSpan w:val="3"/>
            <w:shd w:val="clear" w:color="auto" w:fill="DEEAF6"/>
            <w:tcMar>
              <w:top w:w="0" w:type="dxa"/>
              <w:left w:w="108" w:type="dxa"/>
              <w:bottom w:w="0" w:type="dxa"/>
              <w:right w:w="108" w:type="dxa"/>
            </w:tcMar>
          </w:tcPr>
          <w:p w:rsidR="00266F3D" w:rsidRDefault="00266F3D"/>
        </w:tc>
      </w:tr>
      <w:tr w:rsidR="00266F3D" w:rsidTr="00266F3D">
        <w:trPr>
          <w:jc w:val="center"/>
        </w:trPr>
        <w:tc>
          <w:tcPr>
            <w:tcW w:w="4543" w:type="dxa"/>
            <w:tcMar>
              <w:top w:w="0" w:type="dxa"/>
              <w:left w:w="108" w:type="dxa"/>
              <w:bottom w:w="0" w:type="dxa"/>
              <w:right w:w="108" w:type="dxa"/>
            </w:tcMar>
          </w:tcPr>
          <w:p w:rsidR="00266F3D" w:rsidRDefault="00266F3D"/>
        </w:tc>
        <w:tc>
          <w:tcPr>
            <w:tcW w:w="5905" w:type="dxa"/>
            <w:gridSpan w:val="2"/>
            <w:tcMar>
              <w:top w:w="0" w:type="dxa"/>
              <w:left w:w="108" w:type="dxa"/>
              <w:bottom w:w="0" w:type="dxa"/>
              <w:right w:w="108" w:type="dxa"/>
            </w:tcMar>
          </w:tcPr>
          <w:p w:rsidR="00266F3D" w:rsidRDefault="00266F3D"/>
        </w:tc>
      </w:tr>
      <w:tr w:rsidR="00266F3D" w:rsidTr="00266F3D">
        <w:trPr>
          <w:jc w:val="center"/>
        </w:trPr>
        <w:tc>
          <w:tcPr>
            <w:tcW w:w="10448" w:type="dxa"/>
            <w:gridSpan w:val="3"/>
            <w:shd w:val="clear" w:color="auto" w:fill="DEEAF6"/>
            <w:tcMar>
              <w:top w:w="0" w:type="dxa"/>
              <w:left w:w="108" w:type="dxa"/>
              <w:bottom w:w="0" w:type="dxa"/>
              <w:right w:w="108" w:type="dxa"/>
            </w:tcMar>
            <w:hideMark/>
          </w:tcPr>
          <w:p w:rsidR="00266F3D" w:rsidRDefault="00266F3D">
            <w:pPr>
              <w:rPr>
                <w:rFonts w:ascii="Times New Roman" w:eastAsia="Times New Roman" w:hAnsi="Times New Roman"/>
                <w:sz w:val="20"/>
                <w:szCs w:val="20"/>
                <w:lang w:eastAsia="en-GB"/>
              </w:rPr>
            </w:pPr>
          </w:p>
        </w:tc>
      </w:tr>
      <w:tr w:rsidR="00266F3D" w:rsidTr="00266F3D">
        <w:trPr>
          <w:jc w:val="center"/>
        </w:trPr>
        <w:tc>
          <w:tcPr>
            <w:tcW w:w="4543" w:type="dxa"/>
            <w:tcMar>
              <w:top w:w="0" w:type="dxa"/>
              <w:left w:w="108" w:type="dxa"/>
              <w:bottom w:w="0" w:type="dxa"/>
              <w:right w:w="108" w:type="dxa"/>
            </w:tcMar>
          </w:tcPr>
          <w:p w:rsidR="00266F3D" w:rsidRDefault="00266F3D">
            <w:pPr>
              <w:rPr>
                <w:rFonts w:ascii="Arial" w:hAnsi="Arial" w:cs="Arial"/>
                <w:b/>
                <w:bCs/>
              </w:rPr>
            </w:pPr>
            <w:r>
              <w:rPr>
                <w:rFonts w:ascii="Arial" w:hAnsi="Arial" w:cs="Arial"/>
                <w:b/>
                <w:bCs/>
              </w:rPr>
              <w:t xml:space="preserve">New Physiotherapy self-management website </w:t>
            </w:r>
          </w:p>
          <w:p w:rsidR="00266F3D" w:rsidRDefault="00266F3D">
            <w:pPr>
              <w:rPr>
                <w:rFonts w:ascii="Arial" w:hAnsi="Arial" w:cs="Arial"/>
                <w:b/>
                <w:bCs/>
              </w:rPr>
            </w:pPr>
          </w:p>
          <w:p w:rsidR="00266F3D" w:rsidRDefault="00266F3D">
            <w:pPr>
              <w:shd w:val="clear" w:color="auto" w:fill="FFFFFF"/>
              <w:jc w:val="both"/>
              <w:rPr>
                <w:rFonts w:ascii="Arial" w:hAnsi="Arial" w:cs="Arial"/>
                <w:color w:val="000000"/>
                <w:lang w:eastAsia="en-GB"/>
              </w:rPr>
            </w:pPr>
            <w:r>
              <w:rPr>
                <w:rFonts w:ascii="Arial" w:hAnsi="Arial" w:cs="Arial"/>
                <w:color w:val="000000"/>
                <w:lang w:eastAsia="en-GB"/>
              </w:rPr>
              <w:t>A new website has been launched to assist patients and staff with their recovery.</w:t>
            </w:r>
          </w:p>
          <w:p w:rsidR="00266F3D" w:rsidRDefault="00266F3D">
            <w:pPr>
              <w:shd w:val="clear" w:color="auto" w:fill="FFFFFF"/>
              <w:jc w:val="both"/>
              <w:rPr>
                <w:rFonts w:ascii="Arial" w:hAnsi="Arial" w:cs="Arial"/>
                <w:color w:val="000000"/>
                <w:lang w:eastAsia="en-GB"/>
              </w:rPr>
            </w:pPr>
          </w:p>
          <w:p w:rsidR="00266F3D" w:rsidRDefault="00266F3D">
            <w:pPr>
              <w:shd w:val="clear" w:color="auto" w:fill="FFFFFF"/>
              <w:jc w:val="both"/>
              <w:rPr>
                <w:rFonts w:ascii="Arial" w:hAnsi="Arial" w:cs="Arial"/>
                <w:color w:val="000000"/>
                <w:lang w:eastAsia="en-GB"/>
              </w:rPr>
            </w:pPr>
            <w:r>
              <w:rPr>
                <w:rFonts w:ascii="Arial" w:hAnsi="Arial" w:cs="Arial"/>
                <w:color w:val="000000"/>
                <w:lang w:eastAsia="en-GB"/>
              </w:rPr>
              <w:t xml:space="preserve">The </w:t>
            </w:r>
            <w:hyperlink r:id="rId5" w:history="1">
              <w:r>
                <w:rPr>
                  <w:rStyle w:val="Hyperlink"/>
                  <w:rFonts w:ascii="Arial" w:hAnsi="Arial" w:cs="Arial"/>
                  <w:lang w:eastAsia="en-GB"/>
                </w:rPr>
                <w:t>Physiotherapy self-management site</w:t>
              </w:r>
            </w:hyperlink>
            <w:r>
              <w:rPr>
                <w:rFonts w:ascii="Arial" w:hAnsi="Arial" w:cs="Arial"/>
                <w:color w:val="000000"/>
                <w:lang w:eastAsia="en-GB"/>
              </w:rPr>
              <w:t xml:space="preserve"> aims to support patients recovering at home following a period of illness, including COVID-19.</w:t>
            </w:r>
          </w:p>
          <w:p w:rsidR="00266F3D" w:rsidRDefault="00266F3D">
            <w:pPr>
              <w:shd w:val="clear" w:color="auto" w:fill="FFFFFF"/>
              <w:jc w:val="both"/>
              <w:rPr>
                <w:rFonts w:ascii="Arial" w:hAnsi="Arial" w:cs="Arial"/>
                <w:color w:val="000000"/>
                <w:lang w:eastAsia="en-GB"/>
              </w:rPr>
            </w:pPr>
          </w:p>
          <w:p w:rsidR="00266F3D" w:rsidRDefault="00266F3D">
            <w:r>
              <w:rPr>
                <w:rFonts w:ascii="Arial" w:hAnsi="Arial" w:cs="Arial"/>
                <w:color w:val="000000"/>
                <w:lang w:eastAsia="en-GB"/>
              </w:rPr>
              <w:t>While the information and advice contained in the site is ideal for those who have been discharged from hospital, it is also suitable for those who have not required hospital admission.</w:t>
            </w:r>
          </w:p>
        </w:tc>
        <w:tc>
          <w:tcPr>
            <w:tcW w:w="5905" w:type="dxa"/>
            <w:gridSpan w:val="2"/>
            <w:tcMar>
              <w:top w:w="0" w:type="dxa"/>
              <w:left w:w="108" w:type="dxa"/>
              <w:bottom w:w="0" w:type="dxa"/>
              <w:right w:w="108" w:type="dxa"/>
            </w:tcMar>
          </w:tcPr>
          <w:p w:rsidR="00266F3D" w:rsidRDefault="00266F3D">
            <w:pPr>
              <w:rPr>
                <w:color w:val="1F497D"/>
                <w:lang w:eastAsia="en-GB"/>
              </w:rPr>
            </w:pPr>
          </w:p>
          <w:p w:rsidR="00266F3D" w:rsidRDefault="00266F3D" w:rsidP="00266F3D">
            <w:pPr>
              <w:ind w:left="1151" w:hanging="1151"/>
            </w:pPr>
            <w:r>
              <w:rPr>
                <w:noProof/>
                <w:lang w:eastAsia="en-GB"/>
              </w:rPr>
              <w:drawing>
                <wp:inline distT="0" distB="0" distL="0" distR="0">
                  <wp:extent cx="1852295" cy="1805305"/>
                  <wp:effectExtent l="19050" t="0" r="0" b="0"/>
                  <wp:docPr id="1" name="Picture 5" descr="cid:image006.jpg@01D69311.191A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69311.191A2800"/>
                          <pic:cNvPicPr>
                            <a:picLocks noChangeAspect="1" noChangeArrowheads="1"/>
                          </pic:cNvPicPr>
                        </pic:nvPicPr>
                        <pic:blipFill>
                          <a:blip r:embed="rId6" r:link="rId7" cstate="print"/>
                          <a:srcRect/>
                          <a:stretch>
                            <a:fillRect/>
                          </a:stretch>
                        </pic:blipFill>
                        <pic:spPr bwMode="auto">
                          <a:xfrm>
                            <a:off x="0" y="0"/>
                            <a:ext cx="1852295" cy="1805305"/>
                          </a:xfrm>
                          <a:prstGeom prst="rect">
                            <a:avLst/>
                          </a:prstGeom>
                          <a:noFill/>
                          <a:ln w="9525">
                            <a:noFill/>
                            <a:miter lim="800000"/>
                            <a:headEnd/>
                            <a:tailEnd/>
                          </a:ln>
                        </pic:spPr>
                      </pic:pic>
                    </a:graphicData>
                  </a:graphic>
                </wp:inline>
              </w:drawing>
            </w:r>
          </w:p>
        </w:tc>
      </w:tr>
      <w:tr w:rsidR="00266F3D" w:rsidTr="00266F3D">
        <w:trPr>
          <w:jc w:val="center"/>
        </w:trPr>
        <w:tc>
          <w:tcPr>
            <w:tcW w:w="10448" w:type="dxa"/>
            <w:gridSpan w:val="3"/>
            <w:tcMar>
              <w:top w:w="0" w:type="dxa"/>
              <w:left w:w="108" w:type="dxa"/>
              <w:bottom w:w="0" w:type="dxa"/>
              <w:right w:w="108" w:type="dxa"/>
            </w:tcMar>
          </w:tcPr>
          <w:p w:rsidR="00266F3D" w:rsidRDefault="00266F3D">
            <w:pPr>
              <w:rPr>
                <w:rFonts w:ascii="Arial" w:hAnsi="Arial" w:cs="Arial"/>
              </w:rPr>
            </w:pPr>
          </w:p>
          <w:p w:rsidR="00266F3D" w:rsidRDefault="00266F3D">
            <w:pPr>
              <w:shd w:val="clear" w:color="auto" w:fill="FFFFFF"/>
              <w:rPr>
                <w:rFonts w:ascii="Arial" w:hAnsi="Arial" w:cs="Arial"/>
                <w:color w:val="000000"/>
                <w:lang w:eastAsia="en-GB"/>
              </w:rPr>
            </w:pPr>
            <w:r>
              <w:rPr>
                <w:rFonts w:ascii="Arial" w:hAnsi="Arial" w:cs="Arial"/>
                <w:color w:val="000000"/>
                <w:lang w:eastAsia="en-GB"/>
              </w:rPr>
              <w:t xml:space="preserve">Developed by a group of physiotherapists and occupational therapists from across NHSGGC, </w:t>
            </w:r>
            <w:r>
              <w:rPr>
                <w:rFonts w:ascii="Arial" w:hAnsi="Arial" w:cs="Arial"/>
                <w:color w:val="000000"/>
                <w:lang w:eastAsia="en-GB"/>
              </w:rPr>
              <w:lastRenderedPageBreak/>
              <w:t>the site contains a wealth of information, including advice on physical activity, managing fatigue and breathlessness. Information and guidance is also available on recovering from COVID-19 and life after intensive care.</w:t>
            </w:r>
          </w:p>
          <w:p w:rsidR="00266F3D" w:rsidRDefault="00266F3D">
            <w:pPr>
              <w:shd w:val="clear" w:color="auto" w:fill="FFFFFF"/>
              <w:rPr>
                <w:rFonts w:ascii="Arial" w:hAnsi="Arial" w:cs="Arial"/>
                <w:color w:val="000000"/>
                <w:lang w:eastAsia="en-GB"/>
              </w:rPr>
            </w:pPr>
          </w:p>
          <w:p w:rsidR="00266F3D" w:rsidRDefault="00266F3D">
            <w:pPr>
              <w:shd w:val="clear" w:color="auto" w:fill="FFFFFF"/>
              <w:rPr>
                <w:rFonts w:ascii="Arial" w:hAnsi="Arial" w:cs="Arial"/>
                <w:color w:val="000000"/>
                <w:lang w:eastAsia="en-GB"/>
              </w:rPr>
            </w:pPr>
            <w:r>
              <w:rPr>
                <w:rFonts w:ascii="Arial" w:hAnsi="Arial" w:cs="Arial"/>
                <w:color w:val="000000"/>
                <w:lang w:eastAsia="en-GB"/>
              </w:rPr>
              <w:t>Please pass on details of this new resource to patients.</w:t>
            </w:r>
          </w:p>
        </w:tc>
      </w:tr>
      <w:tr w:rsidR="00266F3D" w:rsidTr="00266F3D">
        <w:trPr>
          <w:jc w:val="center"/>
        </w:trPr>
        <w:tc>
          <w:tcPr>
            <w:tcW w:w="4543" w:type="dxa"/>
            <w:tcMar>
              <w:top w:w="0" w:type="dxa"/>
              <w:left w:w="108" w:type="dxa"/>
              <w:bottom w:w="0" w:type="dxa"/>
              <w:right w:w="108" w:type="dxa"/>
            </w:tcMar>
          </w:tcPr>
          <w:p w:rsidR="00266F3D" w:rsidRDefault="00266F3D"/>
        </w:tc>
        <w:tc>
          <w:tcPr>
            <w:tcW w:w="5905" w:type="dxa"/>
            <w:gridSpan w:val="2"/>
            <w:tcMar>
              <w:top w:w="0" w:type="dxa"/>
              <w:left w:w="108" w:type="dxa"/>
              <w:bottom w:w="0" w:type="dxa"/>
              <w:right w:w="108" w:type="dxa"/>
            </w:tcMar>
          </w:tcPr>
          <w:p w:rsidR="00266F3D" w:rsidRDefault="00266F3D"/>
        </w:tc>
      </w:tr>
      <w:tr w:rsidR="00266F3D" w:rsidTr="00266F3D">
        <w:trPr>
          <w:jc w:val="center"/>
        </w:trPr>
        <w:tc>
          <w:tcPr>
            <w:tcW w:w="10448" w:type="dxa"/>
            <w:gridSpan w:val="3"/>
            <w:tcMar>
              <w:top w:w="0" w:type="dxa"/>
              <w:left w:w="108" w:type="dxa"/>
              <w:bottom w:w="0" w:type="dxa"/>
              <w:right w:w="108" w:type="dxa"/>
            </w:tcMar>
            <w:hideMark/>
          </w:tcPr>
          <w:p w:rsidR="00266F3D" w:rsidRDefault="00266F3D">
            <w:pPr>
              <w:rPr>
                <w:rFonts w:ascii="Times New Roman" w:eastAsia="Times New Roman" w:hAnsi="Times New Roman"/>
                <w:sz w:val="20"/>
                <w:szCs w:val="20"/>
                <w:lang w:eastAsia="en-GB"/>
              </w:rPr>
            </w:pPr>
          </w:p>
        </w:tc>
      </w:tr>
      <w:tr w:rsidR="00266F3D" w:rsidTr="00266F3D">
        <w:trPr>
          <w:jc w:val="center"/>
        </w:trPr>
        <w:tc>
          <w:tcPr>
            <w:tcW w:w="4543" w:type="dxa"/>
            <w:shd w:val="clear" w:color="auto" w:fill="DEEAF6"/>
            <w:tcMar>
              <w:top w:w="0" w:type="dxa"/>
              <w:left w:w="108" w:type="dxa"/>
              <w:bottom w:w="0" w:type="dxa"/>
              <w:right w:w="108" w:type="dxa"/>
            </w:tcMar>
          </w:tcPr>
          <w:p w:rsidR="00266F3D" w:rsidRDefault="00266F3D"/>
        </w:tc>
        <w:tc>
          <w:tcPr>
            <w:tcW w:w="5905" w:type="dxa"/>
            <w:gridSpan w:val="2"/>
            <w:shd w:val="clear" w:color="auto" w:fill="DEEAF6"/>
            <w:tcMar>
              <w:top w:w="0" w:type="dxa"/>
              <w:left w:w="108" w:type="dxa"/>
              <w:bottom w:w="0" w:type="dxa"/>
              <w:right w:w="108" w:type="dxa"/>
            </w:tcMar>
          </w:tcPr>
          <w:p w:rsidR="00266F3D" w:rsidRDefault="00266F3D">
            <w:pPr>
              <w:rPr>
                <w:color w:val="1F497D"/>
                <w:lang w:eastAsia="en-GB"/>
              </w:rPr>
            </w:pPr>
          </w:p>
          <w:p w:rsidR="00266F3D" w:rsidRDefault="00266F3D">
            <w:pPr>
              <w:rPr>
                <w:color w:val="1F497D"/>
              </w:rPr>
            </w:pPr>
          </w:p>
          <w:p w:rsidR="00266F3D" w:rsidRDefault="00266F3D"/>
        </w:tc>
      </w:tr>
      <w:tr w:rsidR="00266F3D" w:rsidTr="00266F3D">
        <w:trPr>
          <w:jc w:val="center"/>
        </w:trPr>
        <w:tc>
          <w:tcPr>
            <w:tcW w:w="10448" w:type="dxa"/>
            <w:gridSpan w:val="3"/>
            <w:tcMar>
              <w:top w:w="0" w:type="dxa"/>
              <w:left w:w="108" w:type="dxa"/>
              <w:bottom w:w="0" w:type="dxa"/>
              <w:right w:w="108" w:type="dxa"/>
            </w:tcMar>
          </w:tcPr>
          <w:p w:rsidR="00266F3D" w:rsidRDefault="00266F3D"/>
        </w:tc>
      </w:tr>
      <w:tr w:rsidR="00266F3D" w:rsidTr="00266F3D">
        <w:trPr>
          <w:jc w:val="center"/>
        </w:trPr>
        <w:tc>
          <w:tcPr>
            <w:tcW w:w="10448" w:type="dxa"/>
            <w:gridSpan w:val="3"/>
            <w:tcMar>
              <w:top w:w="0" w:type="dxa"/>
              <w:left w:w="108" w:type="dxa"/>
              <w:bottom w:w="0" w:type="dxa"/>
              <w:right w:w="108" w:type="dxa"/>
            </w:tcMar>
          </w:tcPr>
          <w:p w:rsidR="00266F3D" w:rsidRDefault="00266F3D">
            <w:pPr>
              <w:jc w:val="center"/>
            </w:pPr>
          </w:p>
        </w:tc>
      </w:tr>
      <w:tr w:rsidR="00266F3D" w:rsidTr="00266F3D">
        <w:trPr>
          <w:jc w:val="center"/>
        </w:trPr>
        <w:tc>
          <w:tcPr>
            <w:tcW w:w="4543" w:type="dxa"/>
            <w:tcMar>
              <w:top w:w="0" w:type="dxa"/>
              <w:left w:w="108" w:type="dxa"/>
              <w:bottom w:w="0" w:type="dxa"/>
              <w:right w:w="108" w:type="dxa"/>
            </w:tcMar>
          </w:tcPr>
          <w:p w:rsidR="00266F3D" w:rsidRDefault="00266F3D"/>
        </w:tc>
        <w:tc>
          <w:tcPr>
            <w:tcW w:w="5905" w:type="dxa"/>
            <w:gridSpan w:val="2"/>
            <w:tcMar>
              <w:top w:w="0" w:type="dxa"/>
              <w:left w:w="108" w:type="dxa"/>
              <w:bottom w:w="0" w:type="dxa"/>
              <w:right w:w="108" w:type="dxa"/>
            </w:tcMar>
          </w:tcPr>
          <w:p w:rsidR="00266F3D" w:rsidRDefault="00266F3D"/>
        </w:tc>
      </w:tr>
      <w:tr w:rsidR="00266F3D" w:rsidTr="00266F3D">
        <w:trPr>
          <w:jc w:val="center"/>
        </w:trPr>
        <w:tc>
          <w:tcPr>
            <w:tcW w:w="10448" w:type="dxa"/>
            <w:gridSpan w:val="3"/>
            <w:tcMar>
              <w:top w:w="0" w:type="dxa"/>
              <w:left w:w="108" w:type="dxa"/>
              <w:bottom w:w="0" w:type="dxa"/>
              <w:right w:w="108" w:type="dxa"/>
            </w:tcMar>
          </w:tcPr>
          <w:p w:rsidR="00266F3D" w:rsidRDefault="00266F3D"/>
        </w:tc>
      </w:tr>
      <w:tr w:rsidR="00266F3D" w:rsidTr="00266F3D">
        <w:trPr>
          <w:jc w:val="center"/>
        </w:trPr>
        <w:tc>
          <w:tcPr>
            <w:tcW w:w="4543" w:type="dxa"/>
            <w:tcMar>
              <w:top w:w="0" w:type="dxa"/>
              <w:left w:w="108" w:type="dxa"/>
              <w:bottom w:w="0" w:type="dxa"/>
              <w:right w:w="108" w:type="dxa"/>
            </w:tcMar>
          </w:tcPr>
          <w:p w:rsidR="00266F3D" w:rsidRDefault="00266F3D"/>
        </w:tc>
        <w:tc>
          <w:tcPr>
            <w:tcW w:w="5905" w:type="dxa"/>
            <w:gridSpan w:val="2"/>
            <w:tcMar>
              <w:top w:w="0" w:type="dxa"/>
              <w:left w:w="108" w:type="dxa"/>
              <w:bottom w:w="0" w:type="dxa"/>
              <w:right w:w="108" w:type="dxa"/>
            </w:tcMar>
          </w:tcPr>
          <w:p w:rsidR="00266F3D" w:rsidRDefault="00266F3D"/>
        </w:tc>
      </w:tr>
      <w:tr w:rsidR="00266F3D" w:rsidTr="00266F3D">
        <w:trPr>
          <w:jc w:val="center"/>
        </w:trPr>
        <w:tc>
          <w:tcPr>
            <w:tcW w:w="10448" w:type="dxa"/>
            <w:gridSpan w:val="3"/>
            <w:tcMar>
              <w:top w:w="0" w:type="dxa"/>
              <w:left w:w="108" w:type="dxa"/>
              <w:bottom w:w="0" w:type="dxa"/>
              <w:right w:w="108" w:type="dxa"/>
            </w:tcMar>
            <w:hideMark/>
          </w:tcPr>
          <w:p w:rsidR="00266F3D" w:rsidRDefault="00266F3D">
            <w:pPr>
              <w:rPr>
                <w:rFonts w:ascii="Times New Roman" w:eastAsia="Times New Roman" w:hAnsi="Times New Roman"/>
                <w:sz w:val="20"/>
                <w:szCs w:val="20"/>
                <w:lang w:eastAsia="en-GB"/>
              </w:rPr>
            </w:pPr>
          </w:p>
        </w:tc>
      </w:tr>
      <w:tr w:rsidR="00266F3D" w:rsidTr="00266F3D">
        <w:trPr>
          <w:jc w:val="center"/>
        </w:trPr>
        <w:tc>
          <w:tcPr>
            <w:tcW w:w="4543" w:type="dxa"/>
            <w:tcMar>
              <w:top w:w="0" w:type="dxa"/>
              <w:left w:w="108" w:type="dxa"/>
              <w:bottom w:w="0" w:type="dxa"/>
              <w:right w:w="108" w:type="dxa"/>
            </w:tcMar>
          </w:tcPr>
          <w:p w:rsidR="00266F3D" w:rsidRDefault="00266F3D"/>
        </w:tc>
        <w:tc>
          <w:tcPr>
            <w:tcW w:w="5905" w:type="dxa"/>
            <w:gridSpan w:val="2"/>
            <w:tcMar>
              <w:top w:w="0" w:type="dxa"/>
              <w:left w:w="108" w:type="dxa"/>
              <w:bottom w:w="0" w:type="dxa"/>
              <w:right w:w="108" w:type="dxa"/>
            </w:tcMar>
          </w:tcPr>
          <w:p w:rsidR="00266F3D" w:rsidRDefault="00266F3D"/>
        </w:tc>
      </w:tr>
      <w:tr w:rsidR="00266F3D" w:rsidTr="00266F3D">
        <w:trPr>
          <w:jc w:val="center"/>
        </w:trPr>
        <w:tc>
          <w:tcPr>
            <w:tcW w:w="10448" w:type="dxa"/>
            <w:gridSpan w:val="3"/>
            <w:shd w:val="clear" w:color="auto" w:fill="FFC000"/>
            <w:tcMar>
              <w:top w:w="0" w:type="dxa"/>
              <w:left w:w="108" w:type="dxa"/>
              <w:bottom w:w="0" w:type="dxa"/>
              <w:right w:w="108" w:type="dxa"/>
            </w:tcMar>
          </w:tcPr>
          <w:p w:rsidR="00266F3D" w:rsidRDefault="00266F3D">
            <w:pPr>
              <w:jc w:val="center"/>
              <w:rPr>
                <w:rFonts w:ascii="Arial" w:hAnsi="Arial" w:cs="Arial"/>
                <w:b/>
                <w:bCs/>
                <w:sz w:val="20"/>
                <w:szCs w:val="20"/>
              </w:rPr>
            </w:pPr>
          </w:p>
          <w:p w:rsidR="00266F3D" w:rsidRDefault="00266F3D">
            <w:pPr>
              <w:jc w:val="center"/>
            </w:pPr>
            <w:r>
              <w:rPr>
                <w:rFonts w:ascii="Arial" w:hAnsi="Arial" w:cs="Arial"/>
                <w:b/>
                <w:bCs/>
                <w:sz w:val="20"/>
                <w:szCs w:val="20"/>
              </w:rPr>
              <w:t xml:space="preserve">It is important to share Core Brief with colleagues who do not have access to a computer. </w:t>
            </w:r>
            <w:r>
              <w:rPr>
                <w:rFonts w:ascii="Arial" w:hAnsi="Arial" w:cs="Arial"/>
                <w:b/>
                <w:bCs/>
                <w:sz w:val="20"/>
                <w:szCs w:val="20"/>
              </w:rPr>
              <w:br/>
              <w:t>A full archive of printable PDFs are available on</w:t>
            </w:r>
            <w:r>
              <w:rPr>
                <w:rFonts w:ascii="Arial" w:hAnsi="Arial" w:cs="Arial"/>
                <w:b/>
                <w:bCs/>
                <w:color w:val="000080"/>
                <w:sz w:val="20"/>
                <w:szCs w:val="20"/>
              </w:rPr>
              <w:t xml:space="preserve"> </w:t>
            </w:r>
            <w:hyperlink r:id="rId8" w:tgtFrame="_blank" w:history="1">
              <w:proofErr w:type="spellStart"/>
              <w:r>
                <w:rPr>
                  <w:rStyle w:val="Hyperlink"/>
                  <w:rFonts w:ascii="Arial" w:hAnsi="Arial" w:cs="Arial"/>
                  <w:color w:val="000080"/>
                  <w:sz w:val="20"/>
                  <w:szCs w:val="20"/>
                </w:rPr>
                <w:t>StaffNet</w:t>
              </w:r>
              <w:proofErr w:type="spellEnd"/>
              <w:r>
                <w:rPr>
                  <w:rStyle w:val="Hyperlink"/>
                  <w:rFonts w:ascii="Arial" w:hAnsi="Arial" w:cs="Arial"/>
                  <w:color w:val="000080"/>
                  <w:sz w:val="20"/>
                  <w:szCs w:val="20"/>
                </w:rPr>
                <w:t xml:space="preserve"> </w:t>
              </w:r>
            </w:hyperlink>
          </w:p>
          <w:p w:rsidR="00266F3D" w:rsidRDefault="00266F3D"/>
        </w:tc>
      </w:tr>
      <w:tr w:rsidR="00266F3D" w:rsidTr="00266F3D">
        <w:trPr>
          <w:jc w:val="center"/>
        </w:trPr>
        <w:tc>
          <w:tcPr>
            <w:tcW w:w="4543" w:type="dxa"/>
            <w:vAlign w:val="center"/>
            <w:hideMark/>
          </w:tcPr>
          <w:p w:rsidR="00266F3D" w:rsidRDefault="00266F3D">
            <w:pPr>
              <w:rPr>
                <w:rFonts w:ascii="Times New Roman" w:eastAsia="Times New Roman" w:hAnsi="Times New Roman"/>
                <w:sz w:val="20"/>
                <w:szCs w:val="20"/>
                <w:lang w:eastAsia="en-GB"/>
              </w:rPr>
            </w:pPr>
          </w:p>
        </w:tc>
        <w:tc>
          <w:tcPr>
            <w:tcW w:w="20" w:type="dxa"/>
            <w:vAlign w:val="center"/>
            <w:hideMark/>
          </w:tcPr>
          <w:p w:rsidR="00266F3D" w:rsidRDefault="00266F3D">
            <w:pPr>
              <w:rPr>
                <w:rFonts w:ascii="Times New Roman" w:eastAsia="Times New Roman" w:hAnsi="Times New Roman"/>
                <w:sz w:val="20"/>
                <w:szCs w:val="20"/>
                <w:lang w:eastAsia="en-GB"/>
              </w:rPr>
            </w:pPr>
          </w:p>
        </w:tc>
        <w:tc>
          <w:tcPr>
            <w:tcW w:w="5885" w:type="dxa"/>
            <w:vAlign w:val="center"/>
            <w:hideMark/>
          </w:tcPr>
          <w:p w:rsidR="00266F3D" w:rsidRDefault="00266F3D">
            <w:pPr>
              <w:rPr>
                <w:rFonts w:ascii="Times New Roman" w:eastAsia="Times New Roman" w:hAnsi="Times New Roman"/>
                <w:sz w:val="20"/>
                <w:szCs w:val="20"/>
                <w:lang w:eastAsia="en-GB"/>
              </w:rPr>
            </w:pPr>
          </w:p>
        </w:tc>
      </w:tr>
    </w:tbl>
    <w:p w:rsidR="00266F3D" w:rsidRDefault="00266F3D" w:rsidP="00266F3D">
      <w:r>
        <w:br w:type="textWrapping" w:clear="all"/>
      </w:r>
    </w:p>
    <w:p w:rsidR="001B1373" w:rsidRDefault="001B1373"/>
    <w:sectPr w:rsidR="001B1373" w:rsidSect="001B13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B1C53"/>
    <w:multiLevelType w:val="multilevel"/>
    <w:tmpl w:val="B4A83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266F3D"/>
    <w:rsid w:val="001B1373"/>
    <w:rsid w:val="00266F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3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6F3D"/>
    <w:rPr>
      <w:color w:val="0563C1"/>
      <w:u w:val="single"/>
    </w:rPr>
  </w:style>
  <w:style w:type="paragraph" w:styleId="BalloonText">
    <w:name w:val="Balloon Text"/>
    <w:basedOn w:val="Normal"/>
    <w:link w:val="BalloonTextChar"/>
    <w:uiPriority w:val="99"/>
    <w:semiHidden/>
    <w:unhideWhenUsed/>
    <w:rsid w:val="00266F3D"/>
    <w:rPr>
      <w:rFonts w:ascii="Tahoma" w:hAnsi="Tahoma" w:cs="Tahoma"/>
      <w:sz w:val="16"/>
      <w:szCs w:val="16"/>
    </w:rPr>
  </w:style>
  <w:style w:type="character" w:customStyle="1" w:styleId="BalloonTextChar">
    <w:name w:val="Balloon Text Char"/>
    <w:basedOn w:val="DefaultParagraphFont"/>
    <w:link w:val="BalloonText"/>
    <w:uiPriority w:val="99"/>
    <w:semiHidden/>
    <w:rsid w:val="00266F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6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hsggc.us12.list-manage.com/track/click?u=0f385b5aea37eaf0213bd19fb&amp;id=4a0fd596c9&amp;e=5af5e1832c" TargetMode="External"/><Relationship Id="rId3" Type="http://schemas.openxmlformats.org/officeDocument/2006/relationships/settings" Target="settings.xml"/><Relationship Id="rId7" Type="http://schemas.openxmlformats.org/officeDocument/2006/relationships/image" Target="cid:image004.jpg@01D6933E.7DE7D8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hsggc.org.uk/your-health/health-services/allied-health-professionals-ahps/physiotherap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1092</Characters>
  <Application>Microsoft Office Word</Application>
  <DocSecurity>0</DocSecurity>
  <Lines>9</Lines>
  <Paragraphs>2</Paragraphs>
  <ScaleCrop>false</ScaleCrop>
  <Company>NHS Greater Glasgow and Clyde</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dc:creator>
  <cp:keywords/>
  <dc:description/>
  <cp:lastModifiedBy>Bartakova</cp:lastModifiedBy>
  <cp:revision>2</cp:revision>
  <dcterms:created xsi:type="dcterms:W3CDTF">2020-09-29T14:00:00Z</dcterms:created>
  <dcterms:modified xsi:type="dcterms:W3CDTF">2020-09-29T14:02:00Z</dcterms:modified>
</cp:coreProperties>
</file>